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ascii="宋体" w:hAnsi="宋体" w:eastAsia="宋体" w:cs="宋体"/>
          <w:b/>
          <w:bCs/>
          <w:i w:val="0"/>
          <w:iCs w:val="0"/>
          <w:caps w:val="0"/>
          <w:color w:val="393939"/>
          <w:spacing w:val="0"/>
          <w:sz w:val="72"/>
          <w:szCs w:val="72"/>
          <w:shd w:val="clear" w:fill="FFFFFF"/>
        </w:rPr>
        <w:t>福建省政府采购项目</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72"/>
          <w:szCs w:val="72"/>
          <w:shd w:val="clear" w:fill="FFFFFF"/>
        </w:rPr>
        <w:t>竞争性谈判文件</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 项目名称：</w:t>
      </w:r>
      <w:r>
        <w:rPr>
          <w:rFonts w:hint="eastAsia" w:ascii="宋体" w:hAnsi="宋体" w:eastAsia="宋体" w:cs="宋体"/>
          <w:b/>
          <w:bCs/>
          <w:i w:val="0"/>
          <w:iCs w:val="0"/>
          <w:caps w:val="0"/>
          <w:color w:val="393939"/>
          <w:spacing w:val="0"/>
          <w:sz w:val="30"/>
          <w:szCs w:val="30"/>
          <w:shd w:val="clear" w:fill="FFFFFF"/>
        </w:rPr>
        <w:t>永泰县樟城幼儿园户外玩具采购</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 备案编号：</w:t>
      </w:r>
      <w:r>
        <w:rPr>
          <w:rFonts w:hint="eastAsia" w:ascii="宋体" w:hAnsi="宋体" w:eastAsia="宋体" w:cs="宋体"/>
          <w:b/>
          <w:bCs/>
          <w:i w:val="0"/>
          <w:iCs w:val="0"/>
          <w:caps w:val="0"/>
          <w:color w:val="393939"/>
          <w:spacing w:val="0"/>
          <w:sz w:val="30"/>
          <w:szCs w:val="30"/>
          <w:shd w:val="clear" w:fill="FFFFFF"/>
        </w:rPr>
        <w:t>A10-ZCXX-JT-202211-B2335-IDN</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 项目编号：</w:t>
      </w:r>
      <w:r>
        <w:rPr>
          <w:rFonts w:hint="eastAsia" w:ascii="宋体" w:hAnsi="宋体" w:eastAsia="宋体" w:cs="宋体"/>
          <w:b/>
          <w:bCs/>
          <w:i w:val="0"/>
          <w:iCs w:val="0"/>
          <w:caps w:val="0"/>
          <w:color w:val="393939"/>
          <w:spacing w:val="0"/>
          <w:sz w:val="30"/>
          <w:szCs w:val="30"/>
          <w:shd w:val="clear" w:fill="FFFFFF"/>
        </w:rPr>
        <w:t>[350125]FJLQ[TP]2022007</w:t>
      </w:r>
    </w:p>
    <w:p>
      <w:pPr>
        <w:pStyle w:val="3"/>
        <w:keepNext w:val="0"/>
        <w:keepLines w:val="0"/>
        <w:widowControl/>
        <w:suppressLineNumbers w:val="0"/>
        <w:shd w:val="clear" w:fill="FFFFFF"/>
        <w:spacing w:before="75" w:beforeAutospacing="0" w:after="75" w:afterAutospacing="0"/>
        <w:ind w:left="0" w:right="0" w:firstLine="105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24"/>
          <w:szCs w:val="24"/>
          <w:shd w:val="clear" w:fill="FFFFFF"/>
        </w:rPr>
        <w:t> </w:t>
      </w:r>
    </w:p>
    <w:p>
      <w:pPr>
        <w:keepNext w:val="0"/>
        <w:keepLines w:val="0"/>
        <w:widowControl/>
        <w:suppressLineNumbers w:val="0"/>
        <w:jc w:val="left"/>
      </w:pPr>
      <w:r>
        <w:rPr>
          <w:rStyle w:val="6"/>
          <w:rFonts w:hint="eastAsia" w:ascii="微软雅黑" w:hAnsi="微软雅黑" w:eastAsia="微软雅黑" w:cs="微软雅黑"/>
          <w:b/>
          <w:bCs/>
          <w:i w:val="0"/>
          <w:iCs w:val="0"/>
          <w:caps w:val="0"/>
          <w:color w:val="393939"/>
          <w:spacing w:val="0"/>
          <w:kern w:val="0"/>
          <w:sz w:val="19"/>
          <w:szCs w:val="19"/>
          <w:shd w:val="clear" w:fill="FFFFFF"/>
          <w:lang w:val="en-US" w:eastAsia="zh-CN" w:bidi="ar"/>
        </w:rPr>
        <w:t> </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b/>
          <w:bCs/>
          <w:i w:val="0"/>
          <w:iCs w:val="0"/>
          <w:caps w:val="0"/>
          <w:color w:val="393939"/>
          <w:spacing w:val="0"/>
          <w:sz w:val="30"/>
          <w:szCs w:val="30"/>
          <w:shd w:val="clear" w:fill="FFFFFF"/>
        </w:rPr>
        <w:t>福建立勤招标代理有限公司</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 </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2022年11月</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 </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 </w:t>
      </w:r>
    </w:p>
    <w:p>
      <w:pPr>
        <w:pStyle w:val="3"/>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6"/>
          <w:rFonts w:hint="eastAsia" w:ascii="宋体" w:hAnsi="宋体" w:eastAsia="宋体" w:cs="宋体"/>
          <w:b/>
          <w:bCs/>
          <w:i w:val="0"/>
          <w:iCs w:val="0"/>
          <w:caps w:val="0"/>
          <w:color w:val="393939"/>
          <w:spacing w:val="0"/>
          <w:sz w:val="30"/>
          <w:szCs w:val="30"/>
          <w:shd w:val="clear" w:fill="FFFFFF"/>
        </w:rPr>
        <w:t> </w:t>
      </w:r>
    </w:p>
    <w:p>
      <w:pPr>
        <w:keepNext w:val="0"/>
        <w:keepLines w:val="0"/>
        <w:widowControl/>
        <w:suppressLineNumbers w:val="0"/>
        <w:jc w:val="left"/>
      </w:pPr>
      <w:r>
        <w:rPr>
          <w:rStyle w:val="6"/>
          <w:rFonts w:hint="eastAsia" w:ascii="宋体" w:hAnsi="宋体" w:eastAsia="宋体" w:cs="宋体"/>
          <w:b/>
          <w:bCs/>
          <w:i w:val="0"/>
          <w:iCs w:val="0"/>
          <w:caps w:val="0"/>
          <w:color w:val="393939"/>
          <w:spacing w:val="0"/>
          <w:kern w:val="0"/>
          <w:sz w:val="30"/>
          <w:szCs w:val="30"/>
          <w:shd w:val="clear" w:fill="FFFFFF"/>
          <w:lang w:val="en-US" w:eastAsia="zh-CN" w:bidi="ar"/>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43"/>
          <w:szCs w:val="43"/>
        </w:rPr>
        <w:t>第一章   采购公告/采购邀请书</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43"/>
          <w:szCs w:val="43"/>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43"/>
          <w:szCs w:val="43"/>
        </w:rPr>
        <w:t>竞争性谈判采购公告</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永泰县樟城小学已根据政府采购相关法律法规，经相应程序确定采用 竞争性谈判 方式组织永泰县樟城幼儿园户外玩具采购项目（以下简称：“本项目”）的政府采购活动，现欢迎国内合格的供应商前来参加。本项目由采购人委托福建立勤招标代理有限公司开展竞争性谈判活动。</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1.项目名称：永泰县樟城幼儿园户外玩具采购</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2.备案编号：A10-ZCXX-JT-202211-B2335-IDN</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3.项目编号：[350125]FJLQ[TP]2022007</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4.采购内容及要求：</w:t>
      </w:r>
    </w:p>
    <w:p>
      <w:pPr>
        <w:pStyle w:val="3"/>
        <w:keepNext w:val="0"/>
        <w:keepLines w:val="0"/>
        <w:widowControl/>
        <w:suppressLineNumbers w:val="0"/>
        <w:spacing w:before="0" w:beforeAutospacing="0" w:after="150" w:afterAutospacing="0"/>
        <w:ind w:left="0" w:right="0"/>
        <w:jc w:val="right"/>
      </w:pPr>
      <w:r>
        <w:rPr>
          <w:rFonts w:hint="eastAsia" w:ascii="宋体" w:hAnsi="宋体" w:eastAsia="宋体" w:cs="宋体"/>
        </w:rPr>
        <w:t>金额单位：人民币元</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
        <w:gridCol w:w="416"/>
        <w:gridCol w:w="1664"/>
        <w:gridCol w:w="832"/>
        <w:gridCol w:w="832"/>
        <w:gridCol w:w="416"/>
        <w:gridCol w:w="832"/>
        <w:gridCol w:w="832"/>
        <w:gridCol w:w="833"/>
        <w:gridCol w:w="8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采购包</w:t>
            </w:r>
          </w:p>
        </w:tc>
        <w:tc>
          <w:tcPr>
            <w:tcW w:w="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品目号</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采购标的</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数量</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品目号预算</w:t>
            </w:r>
          </w:p>
        </w:tc>
        <w:tc>
          <w:tcPr>
            <w:tcW w:w="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允许进口</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中小企业划分标准所属行业</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采购包预算</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采购包最高限价</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谈判保证金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tbl>
            <w:tblPr>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13"/>
              <w:gridCol w:w="1654"/>
              <w:gridCol w:w="827"/>
              <w:gridCol w:w="827"/>
              <w:gridCol w:w="413"/>
              <w:gridCol w:w="82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16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其他体育设备</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1（项）</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185000</w:t>
                  </w:r>
                </w:p>
              </w:tc>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否</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工业</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185000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185000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0</w:t>
            </w:r>
          </w:p>
        </w:tc>
      </w:tr>
    </w:tbl>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shd w:val="clear" w:fill="FFFFFF"/>
        </w:rPr>
        <w:t>5.采购项目需要落实的政府采购政策：</w:t>
      </w:r>
      <w:r>
        <w:rPr>
          <w:rFonts w:hint="eastAsia" w:ascii="宋体" w:hAnsi="宋体" w:eastAsia="宋体" w:cs="宋体"/>
          <w:spacing w:val="0"/>
          <w:sz w:val="24"/>
          <w:szCs w:val="24"/>
        </w:rPr>
        <w:t>节能产品，适用于采购包1，按照财政部发展改革委生态环境部市场监管总局印发《关于调整优化节能产品、环境标志产品政府采购执行机制的通知》(财库〔2019〕9号)以及《关于印发节能产品政府采购品目清单的通知》(财库〔2019〕19号)执行；环境标志产品，适用于采购包1，按照财政部发展改革委生态环境部市场监管总局印发《关于调整优化节能产品、环境标志产品政府采购执行机制的通知》(财库〔2019〕9号)以及《关于印发环境标志产品政府采购品目清单的通知》(财库〔2019〕18号)执行。小型、微型企业，适用于（采购包1）。监狱企业，适用于（采购包1）。促进残疾人就业 ，适用于（采购包1）。信用记录，适用于（采购包1）。。</w:t>
      </w:r>
    </w:p>
    <w:p>
      <w:pPr>
        <w:pStyle w:val="3"/>
        <w:keepNext w:val="0"/>
        <w:keepLines w:val="0"/>
        <w:widowControl/>
        <w:suppressLineNumbers w:val="0"/>
        <w:spacing w:before="75" w:beforeAutospacing="0" w:after="75" w:afterAutospacing="0"/>
        <w:ind w:left="0" w:right="0" w:firstLine="120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6.供应商的资格要求</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6.1法定条件：符合《中华人民共和国政府采购法》第二十二条第一款规定的条件。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6.2特定条件：</w:t>
      </w:r>
    </w:p>
    <w:p>
      <w:pPr>
        <w:pStyle w:val="3"/>
        <w:keepNext w:val="0"/>
        <w:keepLines w:val="0"/>
        <w:widowControl/>
        <w:suppressLineNumbers w:val="0"/>
        <w:spacing w:before="75" w:beforeAutospacing="0" w:after="240" w:afterAutospacing="0"/>
        <w:ind w:left="0" w:right="0" w:firstLine="0"/>
      </w:pPr>
      <w:r>
        <w:rPr>
          <w:rFonts w:hint="eastAsia" w:ascii="宋体" w:hAnsi="宋体" w:eastAsia="宋体" w:cs="宋体"/>
          <w:spacing w:val="0"/>
          <w:sz w:val="24"/>
          <w:szCs w:val="24"/>
          <w:shd w:val="clear" w:fill="FFFFFF"/>
        </w:rPr>
        <w:t>    </w:t>
      </w:r>
      <w:r>
        <w:rPr>
          <w:rStyle w:val="6"/>
          <w:rFonts w:hint="eastAsia" w:ascii="宋体" w:hAnsi="宋体" w:eastAsia="宋体" w:cs="宋体"/>
          <w:b/>
          <w:bCs/>
          <w:spacing w:val="0"/>
          <w:sz w:val="24"/>
          <w:szCs w:val="24"/>
          <w:shd w:val="clear" w:fill="FFFFFF"/>
        </w:rPr>
        <w:t>包：1</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财务状况报告、依法缴纳税收和依法缴纳社会保障资金的相关材料要求（采购文件其他地方要求与本条款要求不一致的，以本条款要求为准）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(1)投标人在响应文件文件中可自行选择是否提供资格承诺函 （格式详见附件），若按附件内容要求提供资格承诺函，无需在响应文件中提交财务状况、缴纳税收和社保资金缴纳证明材料，采购人有权在签订合同前要求成交人提供相关证明材料以核实成交人承诺事项的真实性。投标人应当遵循诚实守信的原则，不得作出虚假承诺，承诺不实的，属于提供虚假材料谋取中标、成交，依法追究相关的法律责任。（2）若不提供本承诺函的，应按谈判文件要求提供相应的证明材料。（3）投标人可刪减承诺事项，如刪去承诺第 1 项的，则应按招标文件要求提供财务状况报告。</w:t>
            </w:r>
          </w:p>
        </w:tc>
      </w:tr>
    </w:tbl>
    <w:p>
      <w:pPr>
        <w:pStyle w:val="3"/>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pacing w:val="0"/>
          <w:sz w:val="24"/>
          <w:szCs w:val="24"/>
          <w:shd w:val="clear" w:fill="FFFFFF"/>
        </w:rPr>
        <w:t>6.3是否接受联合体形式的响应谈判：不接受</w:t>
      </w:r>
    </w:p>
    <w:p>
      <w:pPr>
        <w:pStyle w:val="3"/>
        <w:keepNext w:val="0"/>
        <w:keepLines w:val="0"/>
        <w:widowControl/>
        <w:suppressLineNumbers w:val="0"/>
        <w:spacing w:before="75" w:beforeAutospacing="0" w:after="75" w:afterAutospacing="0" w:line="435" w:lineRule="atLeast"/>
        <w:ind w:left="0" w:right="0" w:firstLine="480"/>
      </w:pPr>
      <w:r>
        <w:rPr>
          <w:rStyle w:val="6"/>
          <w:rFonts w:hint="eastAsia" w:ascii="宋体" w:hAnsi="宋体" w:eastAsia="宋体" w:cs="宋体"/>
          <w:b/>
          <w:bCs/>
          <w:spacing w:val="0"/>
          <w:sz w:val="24"/>
          <w:szCs w:val="24"/>
        </w:rPr>
        <w:t>※</w:t>
      </w:r>
      <w:r>
        <w:rPr>
          <w:rStyle w:val="6"/>
          <w:rFonts w:hint="eastAsia" w:ascii="宋体" w:hAnsi="宋体" w:eastAsia="宋体" w:cs="宋体"/>
          <w:b/>
          <w:bCs/>
          <w:spacing w:val="0"/>
          <w:sz w:val="24"/>
          <w:szCs w:val="24"/>
          <w:shd w:val="clear" w:fill="FFFFFF"/>
        </w:rPr>
        <w:t>根据上述资格要求，供应商响应文件中应提交的“资格证明文件”相关规定和资料要求，详见竞争性谈判须知前附表和谈判文件第五章。</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7.供应商报名期限：详见谈判公告或更正公告（若有），若不一致，以更正公告（若有）为准</w:t>
      </w:r>
      <w:r>
        <w:rPr>
          <w:rFonts w:hint="eastAsia" w:ascii="宋体" w:hAnsi="宋体" w:eastAsia="宋体" w:cs="宋体"/>
          <w:spacing w:val="0"/>
          <w:sz w:val="24"/>
          <w:szCs w:val="24"/>
          <w:shd w:val="clear" w:fill="FFFFFF"/>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7.1如果采购过程中有发出更正公告，采购人将根据实际情况确定是否延长报名期限，则报名截止时间以更正公告中的约定为准。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7.2报名期限内，供应商应通过福建省政府采购网上公开信息系统的注册账号（免费注册）对本项目进行报名(请根据项目所在地，登录对应的福建省政府采购网上公开信息系统报名(即省本级网址/地市分网))。未报名将导致其不能下载采购文件且响应文件被拒收。</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8.获取采购文件时间、地点、方式：</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shd w:val="clear" w:fill="FFFFFF"/>
        </w:rPr>
        <w:t> 8.1采购文件的提供期限：</w:t>
      </w:r>
      <w:r>
        <w:rPr>
          <w:rFonts w:hint="eastAsia" w:ascii="宋体" w:hAnsi="宋体" w:eastAsia="宋体" w:cs="宋体"/>
          <w:spacing w:val="0"/>
          <w:sz w:val="24"/>
          <w:szCs w:val="24"/>
        </w:rPr>
        <w:t>详见谈判公告或更正公告（若有），若不一致，以更正公告（若有）为准。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8.2获取地点及方式：从福建省政府采购网上公开信息系统以下载方式获取。</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9.采购文件售价：</w:t>
      </w:r>
      <w:r>
        <w:rPr>
          <w:rFonts w:hint="eastAsia" w:ascii="宋体" w:hAnsi="宋体" w:eastAsia="宋体" w:cs="宋体"/>
          <w:spacing w:val="0"/>
          <w:sz w:val="24"/>
          <w:szCs w:val="24"/>
          <w:shd w:val="clear" w:fill="FFFFFF"/>
        </w:rPr>
        <w:t>0元。</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r>
        <w:rPr>
          <w:rFonts w:hint="eastAsia" w:ascii="宋体" w:hAnsi="宋体" w:eastAsia="宋体" w:cs="宋体"/>
          <w:spacing w:val="0"/>
          <w:sz w:val="24"/>
          <w:szCs w:val="24"/>
          <w:shd w:val="clear" w:fill="FFFFFF"/>
        </w:rPr>
        <w:t>10.首次响应文件递交截止时间及地点：</w:t>
      </w:r>
      <w:r>
        <w:rPr>
          <w:rFonts w:hint="eastAsia" w:ascii="宋体" w:hAnsi="宋体" w:eastAsia="宋体" w:cs="宋体"/>
        </w:rPr>
        <w:t>详见谈判公告或更正公告（若有），若不一致，以更正公告（若有）为准。</w:t>
      </w:r>
      <w:r>
        <w:rPr>
          <w:rFonts w:hint="eastAsia" w:ascii="宋体" w:hAnsi="宋体" w:eastAsia="宋体" w:cs="宋体"/>
          <w:spacing w:val="0"/>
          <w:sz w:val="24"/>
          <w:szCs w:val="24"/>
          <w:shd w:val="clear" w:fill="FFFFFF"/>
        </w:rPr>
        <w:t>供应商应在此之前将密封的首次响应文件送达本章第11条载明的地点，逾期送达的或不符合规定的响应文件将被拒绝接收。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r>
        <w:rPr>
          <w:rFonts w:hint="eastAsia" w:ascii="宋体" w:hAnsi="宋体" w:eastAsia="宋体" w:cs="宋体"/>
          <w:spacing w:val="0"/>
          <w:sz w:val="24"/>
          <w:szCs w:val="24"/>
          <w:shd w:val="clear" w:fill="FFFFFF"/>
        </w:rPr>
        <w:t>11.谈判时间及地点：详见谈判公告或更正公告（若有），若不一致，以更正公告（若有）为准。</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12.竞争性谈判公告期限：自财政部和福建省财政厅指定的政府采购信息发布媒体最先发布公告之日起3个工作日</w:t>
      </w:r>
      <w:r>
        <w:rPr>
          <w:rFonts w:hint="eastAsia" w:ascii="宋体" w:hAnsi="宋体" w:eastAsia="宋体" w:cs="宋体"/>
          <w:spacing w:val="0"/>
          <w:sz w:val="24"/>
          <w:szCs w:val="24"/>
          <w:shd w:val="clear" w:fill="FFFFFF"/>
        </w:rPr>
        <w:t>。</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13.采购人：永泰县樟城小学</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地  址：永泰县樟城镇上马路33号</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联系人：侯建姨</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联系方法：15985766672</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代理机构：福建立勤招标代理有限公司</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地  址：福州市鼓楼区工业路523号福大怡山文化创意园北区3号楼101</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联系人：陈天翔、林涵萱、黄志芳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联系方法：63037985</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附1：提交谈判保证金的银行账户信息</w:t>
      </w:r>
    </w:p>
    <w:tbl>
      <w:tblP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852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Style w:val="6"/>
                <w:rFonts w:hint="eastAsia" w:ascii="宋体" w:hAnsi="宋体" w:eastAsia="宋体" w:cs="宋体"/>
                <w:b/>
                <w:bCs/>
                <w:spacing w:val="0"/>
                <w:sz w:val="24"/>
                <w:szCs w:val="24"/>
              </w:rPr>
              <w:t>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520" w:type="dxa"/>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开户名称：福建立勤招标代理有限公司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520" w:type="dxa"/>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开户银行：由供应商在福建省政府采购网上公开信息系统报名成功后根据系统的提示，自行选择要缴交的保证金托管银行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520" w:type="dxa"/>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福建省政府采购网上公开信息系统根据供应商选择的保证金托管银行，自动生成供应商所投合同包的缴交银行账号。若投多个合同包将生成多个对应缴交账号。请分别根据所投合同包的保证金要求，进行保证金缴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52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Style w:val="6"/>
                <w:rFonts w:hint="eastAsia" w:ascii="宋体" w:hAnsi="宋体" w:eastAsia="宋体" w:cs="宋体"/>
                <w:b/>
                <w:bCs/>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520" w:type="dxa"/>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1、请供应商务必认真核对账户信息，将谈判保证金款项汇入对应账户，并自行承担因款项汇错而产生的一切后果。</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2、请供应商在转账或电汇的凭证上务必按照以下格式注明，以便核对：“（项目编号：***、合同包：***）的谈判保证金”。</w:t>
            </w:r>
          </w:p>
        </w:tc>
      </w:tr>
    </w:tbl>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43"/>
          <w:szCs w:val="43"/>
        </w:rPr>
        <w:t>第二章  竞争性谈判须知</w:t>
      </w:r>
    </w:p>
    <w:p>
      <w:pPr>
        <w:keepNext w:val="0"/>
        <w:keepLines w:val="0"/>
        <w:widowControl/>
        <w:suppressLineNumbers w:val="0"/>
        <w:jc w:val="left"/>
      </w:pPr>
      <w:r>
        <w:rPr>
          <w:rStyle w:val="6"/>
          <w:rFonts w:ascii="宋体" w:hAnsi="宋体" w:eastAsia="宋体" w:cs="宋体"/>
          <w:b/>
          <w:bCs/>
          <w:kern w:val="0"/>
          <w:sz w:val="24"/>
          <w:szCs w:val="24"/>
          <w:lang w:val="en-US" w:eastAsia="zh-CN" w:bidi="ar"/>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          </w:t>
      </w:r>
      <w:r>
        <w:rPr>
          <w:rStyle w:val="6"/>
          <w:rFonts w:hint="eastAsia" w:ascii="宋体" w:hAnsi="宋体" w:eastAsia="宋体" w:cs="宋体"/>
          <w:b/>
          <w:bCs/>
          <w:spacing w:val="0"/>
          <w:sz w:val="31"/>
          <w:szCs w:val="31"/>
        </w:rPr>
        <w:t> 第1节  竞争性谈判须知前附表</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240" w:afterAutospacing="0" w:line="435" w:lineRule="atLeast"/>
        <w:ind w:left="0" w:right="0" w:firstLine="480"/>
      </w:pPr>
      <w:r>
        <w:rPr>
          <w:rFonts w:hint="eastAsia" w:ascii="宋体" w:hAnsi="宋体" w:eastAsia="宋体" w:cs="宋体"/>
          <w:spacing w:val="0"/>
          <w:sz w:val="24"/>
          <w:szCs w:val="24"/>
        </w:rPr>
        <w:t>竞争性谈判须知前附表是对竞争性谈判须知的补充和细化，二者如有矛盾，以前附表中的要求和规定为准</w:t>
      </w:r>
    </w:p>
    <w:tbl>
      <w:tblPr>
        <w:tblW w:w="96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81"/>
        <w:gridCol w:w="869"/>
        <w:gridCol w:w="81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5" w:hRule="atLeast"/>
        </w:trPr>
        <w:tc>
          <w:tcPr>
            <w:tcW w:w="6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项号</w:t>
            </w:r>
          </w:p>
        </w:tc>
        <w:tc>
          <w:tcPr>
            <w:tcW w:w="8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条款号</w:t>
            </w:r>
          </w:p>
        </w:tc>
        <w:tc>
          <w:tcPr>
            <w:tcW w:w="99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jc w:val="center"/>
            </w:pPr>
            <w:r>
              <w:rPr>
                <w:rStyle w:val="6"/>
                <w:rFonts w:hint="eastAsia" w:ascii="宋体" w:hAnsi="宋体" w:eastAsia="宋体" w:cs="宋体"/>
                <w:b/>
                <w:bCs/>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5" w:hRule="atLeast"/>
        </w:trPr>
        <w:tc>
          <w:tcPr>
            <w:tcW w:w="6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1</w:t>
            </w:r>
          </w:p>
        </w:tc>
        <w:tc>
          <w:tcPr>
            <w:tcW w:w="8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3.2.1</w:t>
            </w:r>
          </w:p>
        </w:tc>
        <w:tc>
          <w:tcPr>
            <w:tcW w:w="99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供应商的资格要求</w:t>
            </w:r>
            <w:r>
              <w:rPr>
                <w:rFonts w:hint="eastAsia" w:ascii="宋体" w:hAnsi="宋体" w:eastAsia="宋体" w:cs="宋体"/>
                <w:spacing w:val="0"/>
                <w:sz w:val="24"/>
                <w:szCs w:val="24"/>
              </w:rPr>
              <w:t>：见谈判文件第一章“采购公告/采购邀请书”</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资格证明文件资料要求：</w:t>
            </w:r>
          </w:p>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583"/>
              <w:gridCol w:w="4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a1投标函</w:t>
                  </w: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a2单位负责人授权书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供应商（自然人除外）：若供应商代表为单位负责人授权的委托代理人，应提供本授权书；若供应商代表为单位负责人，应在此项下提交其身份证正反面复印件，可不提供本授权书。4、供应商为自然人的，可不填写本授权书。5、纸质响应文件正本中的本授权书（若有）应为原件。电子响应文件中的本授权书（若有）应为原件的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a3法人或者其他组织的营业执照等证明文件，自然人的身份证明</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a4财务状况报告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提供会计师事务所出具的上一年度或上一季度财务审计报告，至少包括“资产负债表、利润表、现金流量表”；或者提供投标截止时间前六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a5依法缴纳税收的相关材料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提供投标截止时间前六个月任一个月的依法缴纳税收的凭据；或者提供依法免税的相应证明文件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a6依法缴纳社会保障资金的相关材料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提供投标截止时间前六个月任一个月的依法缴纳社会保障资金的凭据；或者提供依法不需要缴纳社会保障资金的相应证明文件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a7具备履行合同所必需的设备和专业技术能力的材料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a8参加政府采购活动前3年内在经营活动中没有重大违法记录的书面声明</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重大违法记录”指竞争性谈判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谈判供应商应按照谈判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a9检察机关行贿犯罪档案查询结果告知函(若有)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未提供行贿犯罪档案查询结果或查询结果表明竞争性谈判供应商有行贿犯罪记录的，响应无效。2、无法提供有效期内检察机关行贿犯罪档案查询结果告知函的，也应对近三年无行贿犯罪记录进行声明。3、告知函应在有效期内且内容完整、清晰、整洁，否则响应无效。4、有效期内的告知函复印件（含扫描件）及符合谈判文件第五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竞争性谈判供应商应按照谈判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a10信用信息查询结果</w:t>
                  </w: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a11投标保证金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bl>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特定资格条件：</w:t>
            </w:r>
          </w:p>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shd w:val="clear" w:fill="FFFFFF"/>
              </w:rPr>
              <w:t>包：1</w:t>
            </w:r>
          </w:p>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583"/>
              <w:gridCol w:w="4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财务状况报告、依法缴纳税收和依法缴纳社会保障资金的相关材料要求（采购文件其他地方要求与本条款要求不一致的，以本条款要求为准）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(1)投标人在响应文件文件中可自行选择是否提供资格承诺函 （格式详见附件），若按附件内容要求提供资格承诺函，无需在响应文件中提交财务状况、缴纳税收和社保资金缴纳证明材料，采购人有权在签订合同前要求成交人提供相关证明材料以核实成交人承诺事项的真实性。投标人应当遵循诚实守信的原则，不得作出虚假承诺，承诺不实的，属于提供虚假材料谋取中标、成交，依法追究相关的法律责任。（2）若不提供本承诺函的，应按谈判文件要求提供相应的证明材料。（3）投标人可刪减承诺事项，如刪去承诺第 1 项的，则应按招标文件要求提供财务状况报告。</w:t>
                  </w:r>
                </w:p>
              </w:tc>
            </w:tr>
          </w:tbl>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5" w:hRule="atLeast"/>
        </w:trPr>
        <w:tc>
          <w:tcPr>
            <w:tcW w:w="6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2</w:t>
            </w:r>
          </w:p>
        </w:tc>
        <w:tc>
          <w:tcPr>
            <w:tcW w:w="8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3.2.2</w:t>
            </w:r>
          </w:p>
        </w:tc>
        <w:tc>
          <w:tcPr>
            <w:tcW w:w="99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是否接受联合体形式的响应谈判：</w:t>
            </w:r>
            <w:r>
              <w:rPr>
                <w:rFonts w:hint="eastAsia" w:ascii="宋体" w:hAnsi="宋体" w:eastAsia="宋体" w:cs="宋体"/>
                <w:spacing w:val="0"/>
                <w:sz w:val="24"/>
                <w:szCs w:val="24"/>
              </w:rPr>
              <w:t>不接受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90" w:hRule="atLeast"/>
        </w:trPr>
        <w:tc>
          <w:tcPr>
            <w:tcW w:w="6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3</w:t>
            </w:r>
          </w:p>
        </w:tc>
        <w:tc>
          <w:tcPr>
            <w:tcW w:w="8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9.1</w:t>
            </w:r>
          </w:p>
        </w:tc>
        <w:tc>
          <w:tcPr>
            <w:tcW w:w="99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ind w:left="0" w:right="0"/>
            </w:pPr>
            <w:r>
              <w:rPr>
                <w:rStyle w:val="6"/>
                <w:rFonts w:hint="eastAsia" w:ascii="宋体" w:hAnsi="宋体" w:eastAsia="宋体" w:cs="宋体"/>
                <w:b/>
                <w:bCs/>
                <w:spacing w:val="0"/>
                <w:sz w:val="24"/>
                <w:szCs w:val="24"/>
              </w:rPr>
              <w:t>响应文件有效期：</w:t>
            </w:r>
            <w:r>
              <w:rPr>
                <w:rFonts w:hint="eastAsia" w:ascii="宋体" w:hAnsi="宋体" w:eastAsia="宋体" w:cs="宋体"/>
                <w:spacing w:val="0"/>
                <w:sz w:val="24"/>
                <w:szCs w:val="24"/>
              </w:rPr>
              <w:t>首次响应文件提交截止时间起90个日历日。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5" w:hRule="atLeast"/>
        </w:trPr>
        <w:tc>
          <w:tcPr>
            <w:tcW w:w="6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jc w:val="center"/>
            </w:pPr>
            <w:r>
              <w:rPr>
                <w:rFonts w:hint="eastAsia" w:ascii="宋体" w:hAnsi="宋体" w:eastAsia="宋体" w:cs="宋体"/>
                <w:spacing w:val="0"/>
                <w:sz w:val="24"/>
                <w:szCs w:val="24"/>
              </w:rPr>
              <w:t>4</w:t>
            </w:r>
          </w:p>
        </w:tc>
        <w:tc>
          <w:tcPr>
            <w:tcW w:w="8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10.1</w:t>
            </w:r>
          </w:p>
        </w:tc>
        <w:tc>
          <w:tcPr>
            <w:tcW w:w="99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提交谈判保证金：</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本项目的谈判保证金详见《采购标的一览表》，数额不得超过采购项目预算金额的2%，提交方式为</w:t>
            </w:r>
            <w:r>
              <w:rPr>
                <w:spacing w:val="0"/>
                <w:sz w:val="24"/>
                <w:szCs w:val="24"/>
              </w:rPr>
              <w:t>公对公转账 </w:t>
            </w:r>
            <w:r>
              <w:rPr>
                <w:rFonts w:hint="eastAsia" w:ascii="宋体" w:hAnsi="宋体" w:eastAsia="宋体" w:cs="宋体"/>
                <w:spacing w:val="0"/>
                <w:sz w:val="24"/>
                <w:szCs w:val="24"/>
              </w:rPr>
              <w:t>，须于提交响应文件截止时间前到达指定账户为准，是否到达以 </w:t>
            </w:r>
            <w:r>
              <w:rPr>
                <w:spacing w:val="0"/>
                <w:sz w:val="24"/>
                <w:szCs w:val="24"/>
              </w:rPr>
              <w:t>开标当天系统提示 </w:t>
            </w:r>
            <w:r>
              <w:rPr>
                <w:rFonts w:hint="eastAsia" w:ascii="宋体" w:hAnsi="宋体" w:eastAsia="宋体" w:cs="宋体"/>
                <w:spacing w:val="0"/>
                <w:sz w:val="24"/>
                <w:szCs w:val="24"/>
              </w:rPr>
              <w:t>为准；</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其他约定：</w:t>
            </w:r>
            <w:r>
              <w:rPr>
                <w:spacing w:val="0"/>
                <w:sz w:val="24"/>
                <w:szCs w:val="24"/>
              </w:rPr>
              <w:t>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5" w:hRule="atLeast"/>
        </w:trPr>
        <w:tc>
          <w:tcPr>
            <w:tcW w:w="6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5</w:t>
            </w:r>
          </w:p>
        </w:tc>
        <w:tc>
          <w:tcPr>
            <w:tcW w:w="8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10.3.1</w:t>
            </w:r>
          </w:p>
        </w:tc>
        <w:tc>
          <w:tcPr>
            <w:tcW w:w="99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谈判保证金退还的其它要求：</w:t>
            </w:r>
            <w:r>
              <w:rPr>
                <w:spacing w:val="0"/>
                <w:sz w:val="24"/>
                <w:szCs w:val="24"/>
              </w:rPr>
              <w:t>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5" w:hRule="atLeast"/>
        </w:trPr>
        <w:tc>
          <w:tcPr>
            <w:tcW w:w="6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6</w:t>
            </w:r>
          </w:p>
        </w:tc>
        <w:tc>
          <w:tcPr>
            <w:tcW w:w="8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11.1</w:t>
            </w:r>
          </w:p>
        </w:tc>
        <w:tc>
          <w:tcPr>
            <w:tcW w:w="99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b/>
                <w:bCs/>
                <w:spacing w:val="0"/>
                <w:sz w:val="24"/>
                <w:szCs w:val="24"/>
              </w:rPr>
              <w:t>响应文件的份数</w:t>
            </w:r>
          </w:p>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（1）纸质响应文件 </w:t>
            </w:r>
          </w:p>
          <w:p>
            <w:pPr>
              <w:pStyle w:val="3"/>
              <w:keepNext w:val="0"/>
              <w:keepLines w:val="0"/>
              <w:widowControl/>
              <w:suppressLineNumbers w:val="0"/>
              <w:wordWrap w:val="0"/>
              <w:spacing w:before="0" w:beforeAutospacing="0" w:after="0" w:afterAutospacing="0" w:line="435" w:lineRule="atLeast"/>
              <w:ind w:left="0" w:right="0" w:firstLine="480"/>
            </w:pPr>
            <w:r>
              <w:rPr>
                <w:rFonts w:hint="eastAsia" w:ascii="宋体" w:hAnsi="宋体" w:eastAsia="宋体" w:cs="宋体"/>
                <w:spacing w:val="0"/>
                <w:sz w:val="24"/>
                <w:szCs w:val="24"/>
              </w:rPr>
              <w:t>①响应文件正本</w:t>
            </w:r>
            <w:r>
              <w:rPr>
                <w:spacing w:val="0"/>
                <w:sz w:val="24"/>
                <w:szCs w:val="24"/>
              </w:rPr>
              <w:t>0 </w:t>
            </w:r>
            <w:r>
              <w:rPr>
                <w:rFonts w:hint="eastAsia" w:ascii="宋体" w:hAnsi="宋体" w:eastAsia="宋体" w:cs="宋体"/>
                <w:spacing w:val="0"/>
                <w:sz w:val="24"/>
                <w:szCs w:val="24"/>
              </w:rPr>
              <w:t>份、副本</w:t>
            </w:r>
            <w:r>
              <w:rPr>
                <w:spacing w:val="0"/>
                <w:sz w:val="24"/>
                <w:szCs w:val="24"/>
              </w:rPr>
              <w:t>0</w:t>
            </w:r>
            <w:r>
              <w:rPr>
                <w:rFonts w:hint="eastAsia" w:ascii="宋体" w:hAnsi="宋体" w:eastAsia="宋体" w:cs="宋体"/>
                <w:spacing w:val="0"/>
                <w:sz w:val="24"/>
                <w:szCs w:val="24"/>
              </w:rPr>
              <w:t>份。</w:t>
            </w:r>
          </w:p>
          <w:p>
            <w:pPr>
              <w:pStyle w:val="3"/>
              <w:keepNext w:val="0"/>
              <w:keepLines w:val="0"/>
              <w:widowControl/>
              <w:suppressLineNumbers w:val="0"/>
              <w:wordWrap w:val="0"/>
              <w:spacing w:before="0" w:beforeAutospacing="0" w:after="0" w:afterAutospacing="0" w:line="435" w:lineRule="atLeast"/>
              <w:ind w:left="0" w:right="0" w:firstLine="480"/>
            </w:pPr>
            <w:r>
              <w:rPr>
                <w:rFonts w:hint="eastAsia" w:ascii="宋体" w:hAnsi="宋体" w:eastAsia="宋体" w:cs="宋体"/>
                <w:spacing w:val="0"/>
                <w:sz w:val="24"/>
                <w:szCs w:val="24"/>
              </w:rPr>
              <w:t>②可读介质（光盘或U盘）</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份：将上传至福建省政府采购网上公开信息系统的电子响应文件在可读介质中另存</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w:t>
            </w:r>
          </w:p>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w:t>
            </w:r>
            <w:r>
              <w:rPr>
                <w:rFonts w:ascii="Calibri" w:hAnsi="Calibri" w:cs="Calibri"/>
                <w:spacing w:val="0"/>
                <w:sz w:val="24"/>
                <w:szCs w:val="24"/>
              </w:rPr>
              <w:t>2</w:t>
            </w:r>
            <w:r>
              <w:rPr>
                <w:rFonts w:hint="eastAsia" w:ascii="宋体" w:hAnsi="宋体" w:eastAsia="宋体" w:cs="宋体"/>
                <w:spacing w:val="0"/>
                <w:sz w:val="24"/>
                <w:szCs w:val="24"/>
              </w:rPr>
              <w:t>）电子响应文件：详见表</w:t>
            </w:r>
            <w:r>
              <w:rPr>
                <w:rFonts w:hint="default" w:ascii="Calibri" w:hAnsi="Calibri" w:cs="Calibri"/>
                <w:spacing w:val="0"/>
                <w:sz w:val="24"/>
                <w:szCs w:val="24"/>
              </w:rPr>
              <w:t>2</w:t>
            </w:r>
            <w:r>
              <w:rPr>
                <w:rFonts w:hint="eastAsia" w:ascii="宋体" w:hAnsi="宋体" w:eastAsia="宋体" w:cs="宋体"/>
                <w:spacing w:val="0"/>
                <w:sz w:val="24"/>
                <w:szCs w:val="24"/>
              </w:rPr>
              <w:t>《关于电子竞争性谈判活动的专门规定》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5" w:hRule="atLeast"/>
        </w:trPr>
        <w:tc>
          <w:tcPr>
            <w:tcW w:w="6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7</w:t>
            </w:r>
          </w:p>
        </w:tc>
        <w:tc>
          <w:tcPr>
            <w:tcW w:w="8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14.4</w:t>
            </w:r>
          </w:p>
        </w:tc>
        <w:tc>
          <w:tcPr>
            <w:tcW w:w="99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谈判过程中可能发生实质性变动的内容：</w:t>
            </w:r>
          </w:p>
          <w:p>
            <w:pPr>
              <w:pStyle w:val="3"/>
              <w:keepNext w:val="0"/>
              <w:keepLines w:val="0"/>
              <w:widowControl/>
              <w:suppressLineNumbers w:val="0"/>
              <w:spacing w:before="0" w:beforeAutospacing="0" w:after="0" w:afterAutospacing="0" w:line="435" w:lineRule="atLeast"/>
              <w:ind w:left="0" w:right="0"/>
            </w:pPr>
            <w:r>
              <w:rPr>
                <w:spacing w:val="0"/>
                <w:sz w:val="24"/>
                <w:szCs w:val="24"/>
              </w:rPr>
              <w:t>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5" w:hRule="atLeast"/>
        </w:trPr>
        <w:tc>
          <w:tcPr>
            <w:tcW w:w="6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8</w:t>
            </w:r>
          </w:p>
        </w:tc>
        <w:tc>
          <w:tcPr>
            <w:tcW w:w="8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22.2</w:t>
            </w:r>
          </w:p>
        </w:tc>
        <w:tc>
          <w:tcPr>
            <w:tcW w:w="99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b/>
                <w:bCs/>
                <w:spacing w:val="0"/>
                <w:sz w:val="24"/>
                <w:szCs w:val="24"/>
              </w:rPr>
              <w:t>信息公告指定媒体（以下简称：“指定媒体”）：</w:t>
            </w:r>
          </w:p>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(1)中国政府采购网，网址www.ccgp.gov.cn</w:t>
            </w:r>
            <w:r>
              <w:t>。</w:t>
            </w:r>
            <w:r>
              <w:rPr>
                <w:spacing w:val="0"/>
                <w:sz w:val="24"/>
                <w:szCs w:val="24"/>
              </w:rPr>
              <w:br w:type="textWrapping"/>
            </w:r>
            <w:r>
              <w:rPr>
                <w:rFonts w:hint="eastAsia" w:ascii="宋体" w:hAnsi="宋体" w:eastAsia="宋体" w:cs="宋体"/>
                <w:spacing w:val="0"/>
                <w:sz w:val="24"/>
                <w:szCs w:val="24"/>
              </w:rPr>
              <w:t>(2)中国政府采购网福建分网（福建省政府采购网），网址zfcg.czt.fujian.gov.cn</w:t>
            </w:r>
            <w:r>
              <w:t>。</w:t>
            </w:r>
          </w:p>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b/>
                <w:bCs/>
                <w:spacing w:val="0"/>
                <w:sz w:val="24"/>
                <w:szCs w:val="24"/>
              </w:rPr>
              <w:t>※上述指定媒体的有关信息若不一致，应以中国政府采购网福建分网（福建省政府采购网）发布的为准。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5" w:hRule="atLeast"/>
        </w:trPr>
        <w:tc>
          <w:tcPr>
            <w:tcW w:w="6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9</w:t>
            </w:r>
          </w:p>
        </w:tc>
        <w:tc>
          <w:tcPr>
            <w:tcW w:w="8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23.1</w:t>
            </w:r>
          </w:p>
        </w:tc>
        <w:tc>
          <w:tcPr>
            <w:tcW w:w="99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Style w:val="6"/>
                <w:rFonts w:hint="eastAsia" w:ascii="宋体" w:hAnsi="宋体" w:eastAsia="宋体" w:cs="宋体"/>
                <w:b/>
                <w:bCs/>
                <w:spacing w:val="0"/>
                <w:sz w:val="24"/>
                <w:szCs w:val="24"/>
              </w:rPr>
              <w:t>本项目监督管理部门：</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永泰县财政局。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5" w:hRule="atLeast"/>
        </w:trPr>
        <w:tc>
          <w:tcPr>
            <w:tcW w:w="6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10</w:t>
            </w:r>
          </w:p>
        </w:tc>
        <w:tc>
          <w:tcPr>
            <w:tcW w:w="8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24.1</w:t>
            </w:r>
          </w:p>
        </w:tc>
        <w:tc>
          <w:tcPr>
            <w:tcW w:w="99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b/>
                <w:bCs/>
                <w:spacing w:val="0"/>
                <w:sz w:val="24"/>
                <w:szCs w:val="24"/>
              </w:rPr>
              <w:t>履约保证金：</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不收取履约保证金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5" w:hRule="atLeast"/>
        </w:trPr>
        <w:tc>
          <w:tcPr>
            <w:tcW w:w="6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11</w:t>
            </w:r>
          </w:p>
        </w:tc>
        <w:tc>
          <w:tcPr>
            <w:tcW w:w="8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25</w:t>
            </w:r>
          </w:p>
        </w:tc>
        <w:tc>
          <w:tcPr>
            <w:tcW w:w="99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b/>
                <w:bCs/>
                <w:spacing w:val="0"/>
                <w:sz w:val="24"/>
                <w:szCs w:val="24"/>
              </w:rPr>
              <w:t>根据采购项目特点或政策需要补充的其他新增内容：</w:t>
            </w:r>
          </w:p>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b/>
                <w:bCs/>
                <w:spacing w:val="0"/>
                <w:sz w:val="24"/>
                <w:szCs w:val="24"/>
              </w:rPr>
              <w:t>(1)本项目代理服务费由</w:t>
            </w:r>
            <w:r>
              <w:rPr>
                <w:rFonts w:hint="eastAsia" w:ascii="宋体" w:hAnsi="宋体" w:eastAsia="宋体" w:cs="宋体"/>
                <w:b/>
                <w:bCs/>
                <w:spacing w:val="0"/>
                <w:sz w:val="24"/>
                <w:szCs w:val="24"/>
              </w:rPr>
              <w:t>成交人</w:t>
            </w:r>
            <w:r>
              <w:rPr>
                <w:rStyle w:val="6"/>
                <w:rFonts w:hint="eastAsia" w:ascii="宋体" w:hAnsi="宋体" w:eastAsia="宋体" w:cs="宋体"/>
                <w:b/>
                <w:bCs/>
                <w:spacing w:val="0"/>
                <w:sz w:val="24"/>
                <w:szCs w:val="24"/>
              </w:rPr>
              <w:t>支付。</w:t>
            </w:r>
            <w:r>
              <w:rPr>
                <w:rStyle w:val="6"/>
                <w:rFonts w:hint="eastAsia" w:ascii="宋体" w:hAnsi="宋体" w:eastAsia="宋体" w:cs="宋体"/>
                <w:b/>
                <w:bCs/>
                <w:spacing w:val="0"/>
                <w:sz w:val="24"/>
                <w:szCs w:val="24"/>
              </w:rPr>
              <w:br w:type="textWrapping"/>
            </w:r>
            <w:r>
              <w:rPr>
                <w:rStyle w:val="6"/>
                <w:rFonts w:hint="eastAsia" w:ascii="宋体" w:hAnsi="宋体" w:eastAsia="宋体" w:cs="宋体"/>
                <w:b/>
                <w:bCs/>
                <w:spacing w:val="0"/>
                <w:sz w:val="24"/>
                <w:szCs w:val="24"/>
              </w:rPr>
              <w:t>(2)其他：</w:t>
            </w:r>
            <w:r>
              <w:rPr>
                <w:rFonts w:hint="eastAsia" w:ascii="宋体" w:hAnsi="宋体" w:eastAsia="宋体" w:cs="宋体"/>
                <w:b/>
                <w:bCs/>
                <w:spacing w:val="0"/>
                <w:sz w:val="24"/>
                <w:szCs w:val="24"/>
              </w:rPr>
              <w:t>成交人应按以下标准按差额定率累进法计算，向采购代理机构缴纳招标代理服务费。合同包成交金额在100万元以内按1.5%计算向成交人收取。 成交人须在领取成交通知书前，向招标代理机构一次性缴清。招标代理服务费缴交开户名：福建立勤招标代理有限公司 开户行：中国工商银行股份有限公司福州鼓楼支行 账号：1402 0232 0960 0058 290。 3、供应商在递交质疑函时除应提供本磋商文件规定的质疑材料外，还须提供福建省政府采购网上公开信息系统本项目的已获取采购文件截图复印件，否则递交的质疑函将不予受理。在法定质疑期内质疑人须一次性提出针对同一采购程序环节的质疑，二（多）次质疑不予受理。接收质疑函的联系人：陈天翔，联系电话：0591-63037985 ；通讯地址：福州市鼓楼区工业路523号福大怡山文化创意园3号楼101二层。5、响应文件（将）被拒绝或拒收、响应文件无效及否决等相关条款：①不符合第一章邀请书第7.2、10条款中“响应文件（将）被拒绝或拒收”规定的；②出现第二章须知前附表表2中“否决”或“无效”或“响应文件（将）被拒绝或拒收”条款规定的；③出现专项附件评审标准和方法中规定的“否决”或“无效”条款的；④出现第三章采购内容及要求中“否决或无效”条款规定的或“★”标注的内容为负偏离的；⑤出现第五章首次响应文件格式中“否决”或“无效”条款规定的。6、本项目无需提供纸质响应文件，关于单位负责人授权书及资信证明，供应商应在电子响应文件中上传原件的扫描件，未提供原件的，不视为无效投标。谈判文件中与此处有不一致的，以此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12</w:t>
            </w:r>
          </w:p>
        </w:tc>
        <w:tc>
          <w:tcPr>
            <w:tcW w:w="88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jc w:val="center"/>
            </w:pPr>
          </w:p>
        </w:tc>
        <w:tc>
          <w:tcPr>
            <w:tcW w:w="997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jc w:val="left"/>
            </w:pPr>
            <w:r>
              <w:rPr>
                <w:rStyle w:val="6"/>
                <w:rFonts w:hint="eastAsia" w:ascii="宋体" w:hAnsi="宋体" w:eastAsia="宋体" w:cs="宋体"/>
                <w:b/>
                <w:bCs/>
                <w:spacing w:val="0"/>
                <w:kern w:val="0"/>
                <w:sz w:val="24"/>
                <w:szCs w:val="24"/>
                <w:bdr w:val="none" w:color="auto" w:sz="0" w:space="0"/>
                <w:lang w:val="en-US" w:eastAsia="zh-CN" w:bidi="ar"/>
              </w:rPr>
              <w:t>是否组织现场考察或召开开标前答疑会：否</w:t>
            </w:r>
            <w:r>
              <w:rPr>
                <w:rFonts w:hint="eastAsia" w:ascii="宋体" w:hAnsi="宋体" w:eastAsia="宋体" w:cs="宋体"/>
                <w:spacing w:val="0"/>
                <w:kern w:val="0"/>
                <w:sz w:val="24"/>
                <w:szCs w:val="24"/>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1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13</w:t>
            </w:r>
          </w:p>
        </w:tc>
        <w:tc>
          <w:tcPr>
            <w:tcW w:w="88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jc w:val="center"/>
            </w:pPr>
            <w:r>
              <w:rPr>
                <w:rFonts w:hint="eastAsia" w:ascii="宋体" w:hAnsi="宋体" w:eastAsia="宋体" w:cs="宋体"/>
                <w:kern w:val="0"/>
                <w:sz w:val="24"/>
                <w:szCs w:val="24"/>
                <w:bdr w:val="none" w:color="auto" w:sz="0" w:space="0"/>
                <w:lang w:val="en-US" w:eastAsia="zh-CN" w:bidi="ar"/>
              </w:rPr>
              <w:t>18.1</w:t>
            </w:r>
          </w:p>
        </w:tc>
        <w:tc>
          <w:tcPr>
            <w:tcW w:w="9975" w:type="dxa"/>
            <w:tcBorders>
              <w:top w:val="nil"/>
              <w:left w:val="nil"/>
              <w:bottom w:val="nil"/>
              <w:right w:val="nil"/>
            </w:tcBorders>
            <w:shd w:val="clear"/>
            <w:tcMar>
              <w:top w:w="0" w:type="dxa"/>
              <w:left w:w="0" w:type="dxa"/>
              <w:bottom w:w="0" w:type="dxa"/>
              <w:right w:w="0" w:type="dxa"/>
            </w:tcMar>
            <w:vAlign w:val="center"/>
          </w:tcPr>
          <w:p>
            <w:pPr>
              <w:pStyle w:val="3"/>
              <w:keepNext w:val="0"/>
              <w:keepLines w:val="0"/>
              <w:widowControl/>
              <w:suppressLineNumbers w:val="0"/>
              <w:spacing w:before="0" w:beforeAutospacing="0" w:after="150" w:afterAutospacing="0"/>
              <w:ind w:left="0" w:right="0"/>
            </w:pPr>
            <w:r>
              <w:rPr>
                <w:rStyle w:val="6"/>
                <w:rFonts w:hint="eastAsia" w:ascii="宋体" w:hAnsi="宋体" w:eastAsia="宋体" w:cs="宋体"/>
                <w:b/>
                <w:bCs/>
              </w:rPr>
              <w:t>合同签订时限：自中标通知书发出之日起30个日历日内。</w:t>
            </w:r>
          </w:p>
        </w:tc>
      </w:tr>
    </w:tbl>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表2</w:t>
      </w: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540"/>
        <w:gridCol w:w="7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8070" w:type="dxa"/>
            <w:gridSpan w:val="2"/>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b/>
                <w:bCs/>
                <w:spacing w:val="0"/>
                <w:sz w:val="24"/>
                <w:szCs w:val="24"/>
              </w:rPr>
              <w:t>关于电子竞争性谈判活动的专门规定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753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7530"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w:t>
            </w:r>
            <w:r>
              <w:rPr>
                <w:rFonts w:hint="default" w:ascii="Calibri" w:hAnsi="Calibri" w:cs="Calibri"/>
                <w:spacing w:val="0"/>
                <w:sz w:val="24"/>
                <w:szCs w:val="24"/>
              </w:rPr>
              <w:t>1</w:t>
            </w:r>
            <w:r>
              <w:rPr>
                <w:rFonts w:hint="eastAsia" w:ascii="宋体" w:hAnsi="宋体" w:eastAsia="宋体" w:cs="宋体"/>
                <w:spacing w:val="0"/>
                <w:sz w:val="24"/>
                <w:szCs w:val="24"/>
              </w:rPr>
              <w:t>）谈判文件中除下述第（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）款所述之外的内容及其规定适用本项目的电子竞争性谈判活动。</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）将谈判文件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6"/>
                <w:rFonts w:hint="eastAsia" w:ascii="宋体" w:hAnsi="宋体" w:eastAsia="宋体" w:cs="宋体"/>
                <w:b/>
                <w:bCs/>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后适用本项目的电子竞争性谈判活动。</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）将下列内容</w:t>
            </w:r>
            <w:r>
              <w:rPr>
                <w:rStyle w:val="6"/>
                <w:rFonts w:hint="eastAsia" w:ascii="宋体" w:hAnsi="宋体" w:eastAsia="宋体" w:cs="宋体"/>
                <w:b/>
                <w:bCs/>
                <w:spacing w:val="0"/>
                <w:sz w:val="24"/>
                <w:szCs w:val="24"/>
              </w:rPr>
              <w:t>增列为</w:t>
            </w:r>
            <w:r>
              <w:rPr>
                <w:rFonts w:hint="eastAsia" w:ascii="宋体" w:hAnsi="宋体" w:eastAsia="宋体" w:cs="宋体"/>
                <w:spacing w:val="0"/>
                <w:sz w:val="24"/>
                <w:szCs w:val="24"/>
              </w:rPr>
              <w:t>谈判文件的组成部分（以下简称：“增列内容”）适用本项目的电子竞争性谈判活动，若增列内容与谈判文件其他章节内容不一致，应以增列内容为准：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①电子竞争性谈判活动的具体操作流程以福建省政府采购网上公开信息系统设定的为准。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②供应商应在首次响应文件递交截止时间前按照福建省政府采购网上公开信息系统设定的操作流程将电子响应文件</w:t>
            </w:r>
            <w:r>
              <w:rPr>
                <w:rStyle w:val="6"/>
                <w:rFonts w:hint="eastAsia" w:ascii="宋体" w:hAnsi="宋体" w:eastAsia="宋体" w:cs="宋体"/>
                <w:b/>
                <w:bCs/>
                <w:spacing w:val="0"/>
                <w:sz w:val="24"/>
                <w:szCs w:val="24"/>
              </w:rPr>
              <w:t>1</w:t>
            </w:r>
            <w:r>
              <w:rPr>
                <w:rFonts w:hint="eastAsia" w:ascii="宋体" w:hAnsi="宋体" w:eastAsia="宋体" w:cs="宋体"/>
                <w:spacing w:val="0"/>
                <w:sz w:val="24"/>
                <w:szCs w:val="24"/>
              </w:rPr>
              <w:t>份上传至福建省政府采购网上公开信息系统，电子响应文件应与纸质响应文件保持一致，并以电子响应文件为准。电子响应文件的分项报价一览表、纸质响应文件的分项报价一览表、投标客户端的分项报价一览表应保持一致，并以投标客户端的分项报价一览表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③若出现福建省政府采购网上公开信息系统设定的意外情形（如：系统故障等），经本项目监督管理部门同意使用纸质响应文件的，应以纸质响应文件为准。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④供应商根据谈判小组的要求，在谈判过程中以纸质方式签署确认并提交的澄清或说明、解决方案、图纸图表以及最后报价等资料均为补充响应文件，谈判小组将此部分内容通过扫描或拍照或数据录入或附件上传等形式提交到电子平台系统，应保持两者内容一致，并作为补充电子响应文件进行评审。相关纸质响应文件应当存档保留，做为监督或核验时判定内容是否一致的标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⑤供应商应按照福建省政府采购网上公开信息系统要求的评审节点编制电子响应文件，否则</w:t>
            </w:r>
            <w:r>
              <w:rPr>
                <w:rStyle w:val="6"/>
                <w:rFonts w:hint="eastAsia" w:ascii="宋体" w:hAnsi="宋体" w:eastAsia="宋体" w:cs="宋体"/>
                <w:b/>
                <w:bCs/>
                <w:spacing w:val="0"/>
                <w:sz w:val="24"/>
                <w:szCs w:val="24"/>
              </w:rPr>
              <w:t>谈判小组将按照不利于供应商的内容进行认定</w:t>
            </w:r>
            <w:r>
              <w:rPr>
                <w:rFonts w:hint="eastAsia" w:ascii="宋体" w:hAnsi="宋体" w:eastAsia="宋体" w:cs="宋体"/>
                <w:spacing w:val="0"/>
                <w:sz w:val="24"/>
                <w:szCs w:val="24"/>
              </w:rPr>
              <w:t>。</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⑥关于证明材料或资料：</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a.谈判文件要求原件的，供应商在电子响应文件中可提供复印件或扫描件，但在纸质响应文件正本中应提供原件</w:t>
            </w:r>
            <w:r>
              <w:rPr>
                <w:rStyle w:val="6"/>
                <w:rFonts w:hint="eastAsia" w:ascii="宋体" w:hAnsi="宋体" w:eastAsia="宋体" w:cs="宋体"/>
                <w:b/>
                <w:bCs/>
                <w:spacing w:val="0"/>
                <w:sz w:val="24"/>
                <w:szCs w:val="24"/>
              </w:rPr>
              <w:t>（谈判小组将核对纸质响应文件正本，未提供原件的证明材料或资料将被视为无效）</w:t>
            </w:r>
            <w:r>
              <w:rPr>
                <w:rFonts w:hint="eastAsia" w:ascii="宋体" w:hAnsi="宋体" w:eastAsia="宋体" w:cs="宋体"/>
                <w:spacing w:val="0"/>
                <w:sz w:val="24"/>
                <w:szCs w:val="24"/>
              </w:rPr>
              <w:t>；谈判文件要求复印件的，供应商在纸质响应文件中提供原件、复印件、扫描件皆可；谈判文件对原件、复印件未作要求的，供应商在纸质响应文件中提供原件、复印件、扫描件皆可。</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b.除本增列内容第⑥点第</w:t>
            </w:r>
            <w:r>
              <w:rPr>
                <w:rFonts w:hint="default" w:ascii="Calibri" w:hAnsi="Calibri" w:cs="Calibri"/>
                <w:spacing w:val="0"/>
                <w:sz w:val="24"/>
                <w:szCs w:val="24"/>
              </w:rPr>
              <w:t>c</w:t>
            </w:r>
            <w:r>
              <w:rPr>
                <w:rFonts w:hint="eastAsia" w:ascii="宋体" w:hAnsi="宋体" w:eastAsia="宋体" w:cs="宋体"/>
                <w:spacing w:val="0"/>
                <w:sz w:val="24"/>
                <w:szCs w:val="24"/>
              </w:rPr>
              <w:t>项规定情形外，若供应商提供注明“复印件无效”的证明材料或资料，其纸质响应文件正本中应提供原件</w:t>
            </w:r>
            <w:r>
              <w:rPr>
                <w:rStyle w:val="6"/>
                <w:rFonts w:hint="eastAsia" w:ascii="宋体" w:hAnsi="宋体" w:eastAsia="宋体" w:cs="宋体"/>
                <w:b/>
                <w:bCs/>
                <w:spacing w:val="0"/>
                <w:sz w:val="24"/>
                <w:szCs w:val="24"/>
              </w:rPr>
              <w:t>（谈判小组将核对纸质响应文件正本，未提供原件的证明材料或资料将被视为无效）。</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c.有效期内的《检察机关行贿犯罪档案查询结果告知函》复印件，无论内容中是否注明“复印件无效”，均视同有效。</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d.供应商为非自然人的，应在纸质响应文件正本中提供“单位负责人授权书”原件；联合体形式的供应商，应在纸质响应文件正本中提供“联合体协议”原件，否则</w:t>
            </w:r>
            <w:r>
              <w:rPr>
                <w:rStyle w:val="6"/>
                <w:rFonts w:hint="eastAsia" w:ascii="宋体" w:hAnsi="宋体" w:eastAsia="宋体" w:cs="宋体"/>
                <w:b/>
                <w:bCs/>
                <w:spacing w:val="0"/>
                <w:sz w:val="24"/>
                <w:szCs w:val="24"/>
              </w:rPr>
              <w:t>视为未按照谈判文件规定提交供应商的资格及资信文件</w:t>
            </w:r>
            <w:r>
              <w:rPr>
                <w:rFonts w:hint="eastAsia" w:ascii="宋体" w:hAnsi="宋体" w:eastAsia="宋体" w:cs="宋体"/>
                <w:spacing w:val="0"/>
                <w:sz w:val="24"/>
                <w:szCs w:val="24"/>
              </w:rPr>
              <w:t>。此项审查谈判小组将核对纸质响应文件正本，并以纸质响应文件为准。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⑦关于“全称”、“供应商代表签字”及“加盖单位公章”：</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a.在电子响应文件中，涉及“全称”和“供应商代表签字”的内容可使用打字录入方式完成。</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b.在电子响应文件中，涉及“加盖单位公章”的内容应使用供应商的</w:t>
            </w:r>
            <w:r>
              <w:rPr>
                <w:rFonts w:hint="default" w:ascii="Calibri" w:hAnsi="Calibri" w:cs="Calibri"/>
                <w:spacing w:val="0"/>
                <w:sz w:val="24"/>
                <w:szCs w:val="24"/>
              </w:rPr>
              <w:t>CA</w:t>
            </w:r>
            <w:r>
              <w:rPr>
                <w:rFonts w:hint="eastAsia" w:ascii="宋体" w:hAnsi="宋体" w:eastAsia="宋体" w:cs="宋体"/>
                <w:spacing w:val="0"/>
                <w:sz w:val="24"/>
                <w:szCs w:val="24"/>
              </w:rPr>
              <w:t>证书完成加盖电子印章，否则</w:t>
            </w:r>
            <w:r>
              <w:rPr>
                <w:rStyle w:val="6"/>
                <w:rFonts w:hint="eastAsia" w:ascii="宋体" w:hAnsi="宋体" w:eastAsia="宋体" w:cs="宋体"/>
                <w:b/>
                <w:bCs/>
                <w:spacing w:val="0"/>
                <w:sz w:val="24"/>
                <w:szCs w:val="24"/>
              </w:rPr>
              <w:t>该响应文件无效，相应供应商的谈判将被否决。</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c.在电子响应文件中，若供应商按照本增列内容第⑦点第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项规定加盖其单位电子印章，则出现无全称、供应商代表未签字等情形，</w:t>
            </w:r>
            <w:r>
              <w:rPr>
                <w:rStyle w:val="6"/>
                <w:rFonts w:hint="eastAsia" w:ascii="宋体" w:hAnsi="宋体" w:eastAsia="宋体" w:cs="宋体"/>
                <w:b/>
                <w:bCs/>
                <w:spacing w:val="0"/>
                <w:sz w:val="24"/>
                <w:szCs w:val="24"/>
              </w:rPr>
              <w:t>不视为该响应文件无效。</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⑧谈判文件接受联合体方式且供应商为联合体的，供应商应以“联合体牵头方”完成电子响应的有关操作（包括但不限于：报名、提交谈判保证金、编制电子响应文件等）。</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⑨</w:t>
            </w:r>
            <w:r>
              <w:rPr>
                <w:rStyle w:val="6"/>
                <w:rFonts w:hint="eastAsia" w:ascii="宋体" w:hAnsi="宋体" w:eastAsia="宋体" w:cs="宋体"/>
                <w:b/>
                <w:bCs/>
                <w:spacing w:val="0"/>
                <w:sz w:val="24"/>
                <w:szCs w:val="24"/>
              </w:rPr>
              <w:t>参加谈判活动的供应商代表务必携带供应商的CA证书</w:t>
            </w:r>
            <w:r>
              <w:rPr>
                <w:rFonts w:hint="eastAsia" w:ascii="宋体" w:hAnsi="宋体" w:eastAsia="宋体" w:cs="宋体"/>
                <w:spacing w:val="0"/>
                <w:sz w:val="24"/>
                <w:szCs w:val="24"/>
              </w:rPr>
              <w:t>。</w:t>
            </w:r>
            <w:r>
              <w:rPr>
                <w:rStyle w:val="6"/>
                <w:rFonts w:hint="eastAsia" w:ascii="宋体" w:hAnsi="宋体" w:eastAsia="宋体" w:cs="宋体"/>
                <w:b/>
                <w:bCs/>
                <w:spacing w:val="0"/>
                <w:sz w:val="24"/>
                <w:szCs w:val="24"/>
              </w:rPr>
              <w:t>因未携带CA证书或者福建省政府采购网上公开信息系统平台显示相关供应商未提交谈判保证金或者供应商仅提交电子响应文件但未提交相对应纸质响应文件的，均视同为该供应商未按照要求提交响应文件，其相应的响应文件将被视为无效且被拒绝。</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⑩参加谈判活动的供应商代表应当在规定的谈判地点等待，并根据谈判小组的要求和安排配合相应谈判工作直至结束。提交最后报价程序结束前，如果在场的合格供应商委派的“供应商代表”不是其响应文件中约定的供应商（为法人或其他组织的）的单位负责人或由其授权的委托代理人或者供应商代表无故中途退场或者自身通讯中断无法联系或者其他原因离场等造成不能按照谈判小组要求参加谈判的，均视同为该供应商自动放弃相应权利并完全认可谈判小组在谈判活动中公布的各项数据、意见和结论，且该供应商将被退出本项目谈判，其提交的响应文件和报价将被否决。供应商的上述行为后果由供应商自行承担且不影响谈判小组依法开展后续相应电子竞争性谈判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pPr>
            <w:r>
              <w:rPr>
                <w:rFonts w:hint="eastAsia" w:ascii="宋体" w:hAnsi="宋体" w:eastAsia="宋体" w:cs="宋体"/>
                <w:spacing w:val="0"/>
                <w:bdr w:val="none" w:color="auto" w:sz="0" w:space="0"/>
              </w:rPr>
              <w:t>⑾关于首次</w:t>
            </w:r>
            <w:r>
              <w:rPr>
                <w:rFonts w:hint="eastAsia" w:ascii="宋体" w:hAnsi="宋体" w:eastAsia="宋体" w:cs="宋体"/>
                <w:bdr w:val="none" w:color="auto" w:sz="0" w:space="0"/>
              </w:rPr>
              <w:t>响应文件递交截止时间</w:t>
            </w:r>
            <w:r>
              <w:rPr>
                <w:rFonts w:hint="eastAsia" w:ascii="宋体" w:hAnsi="宋体" w:eastAsia="宋体" w:cs="宋体"/>
                <w:spacing w:val="0"/>
                <w:bdr w:val="none" w:color="auto" w:sz="0" w:space="0"/>
              </w:rPr>
              <w:t>过后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bdr w:val="none" w:color="auto" w:sz="0" w:space="0"/>
              </w:rPr>
              <w:t>a.被福建省政府采购网上公开信息系统判定为报价保证金未提交（即未于首次响应文件递交截止时间前到谈判文件载明的报价保证金账户）的供应商，</w:t>
            </w:r>
            <w:r>
              <w:rPr>
                <w:rStyle w:val="6"/>
                <w:rFonts w:hint="eastAsia" w:ascii="宋体" w:hAnsi="宋体" w:eastAsia="宋体" w:cs="宋体"/>
                <w:b/>
                <w:bCs/>
                <w:spacing w:val="0"/>
                <w:bdr w:val="none" w:color="auto" w:sz="0" w:space="0"/>
              </w:rPr>
              <w:t>该响应文件无效，相应供应商的谈判将被否决。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bdr w:val="none" w:color="auto" w:sz="0" w:space="0"/>
              </w:rPr>
              <w:t>b.有下列情形之一的，</w:t>
            </w:r>
            <w:r>
              <w:rPr>
                <w:rStyle w:val="6"/>
                <w:rFonts w:hint="eastAsia" w:ascii="宋体" w:hAnsi="宋体" w:eastAsia="宋体" w:cs="宋体"/>
                <w:b/>
                <w:bCs/>
                <w:spacing w:val="0"/>
                <w:bdr w:val="none" w:color="auto" w:sz="0" w:space="0"/>
              </w:rPr>
              <w:t>该响应文件无效，相应供应商的谈判将被否决,</w:t>
            </w:r>
            <w:r>
              <w:rPr>
                <w:rFonts w:hint="eastAsia" w:ascii="宋体" w:hAnsi="宋体" w:eastAsia="宋体" w:cs="宋体"/>
                <w:spacing w:val="0"/>
                <w:bdr w:val="none" w:color="auto" w:sz="0" w:space="0"/>
              </w:rPr>
              <w:t>其保证金不予退还</w:t>
            </w:r>
            <w:r>
              <w:rPr>
                <w:rStyle w:val="6"/>
                <w:rFonts w:hint="eastAsia" w:ascii="宋体" w:hAnsi="宋体" w:eastAsia="宋体" w:cs="宋体"/>
                <w:b/>
                <w:bCs/>
                <w:spacing w:val="0"/>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bdr w:val="none" w:color="auto" w:sz="0" w:space="0"/>
              </w:rPr>
              <w:t>b1不同供应商的电子响应文件被福建省政府采购网上公开信息系统判定为具有相同内部识别码；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bdr w:val="none" w:color="auto" w:sz="0" w:space="0"/>
              </w:rPr>
              <w:t>b2不同供应商的</w:t>
            </w:r>
            <w:r>
              <w:rPr>
                <w:rFonts w:hint="eastAsia" w:ascii="宋体" w:hAnsi="宋体" w:eastAsia="宋体" w:cs="宋体"/>
                <w:bdr w:val="none" w:color="auto" w:sz="0" w:space="0"/>
              </w:rPr>
              <w:t>报价保证金</w:t>
            </w:r>
            <w:r>
              <w:rPr>
                <w:rFonts w:hint="eastAsia" w:ascii="宋体" w:hAnsi="宋体" w:eastAsia="宋体" w:cs="宋体"/>
                <w:spacing w:val="0"/>
                <w:bdr w:val="none" w:color="auto" w:sz="0" w:space="0"/>
              </w:rPr>
              <w:t>被福建省政府采购网上公开信息系统判定为从同一单位或个人的账户转出；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pacing w:val="0"/>
                <w:bdr w:val="none" w:color="auto" w:sz="0" w:space="0"/>
              </w:rPr>
              <w:t>b3供应商的报价保证金被福建省政府采购网上公开信息系统判定为同一合同项下有其他供应商提交的报价保证金。</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(12)其他：</w:t>
            </w:r>
            <w:r>
              <w:rPr>
                <w:rFonts w:hint="eastAsia" w:ascii="宋体" w:hAnsi="宋体" w:eastAsia="宋体" w:cs="宋体"/>
                <w:b/>
                <w:bCs/>
                <w:spacing w:val="0"/>
                <w:sz w:val="24"/>
                <w:szCs w:val="24"/>
              </w:rPr>
              <w:t>电子化招标、非招标项目视为串通情形的认定及处理的相关条款详见《关于福建省财政厅关于电子化政府采购项目中视为串标情形认定与处理的指导意见》（闽财购〔2018〕30号）文件。</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（与电子竞争性谈判活动有关的其他规定或补充内容可在此处填写）。</w:t>
            </w:r>
          </w:p>
        </w:tc>
      </w:tr>
    </w:tbl>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专项附件：       评定成交的标准和方法</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b/>
          <w:bCs/>
          <w:spacing w:val="0"/>
          <w:sz w:val="24"/>
          <w:szCs w:val="24"/>
        </w:rPr>
        <w:t>一、谈判小组</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1.1采购人根据项目的特点依法组建谈判小组。</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1.2谈判小组由采购人代表和评审专家两部分（以下简称“评委”）共</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人组成，其中：采购人代表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人由采购人派出，评审专家</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人由福建省政府采购评审专家库产生。达到公开招标数额标准的货物或者服务采购项目，或者达到招标规模标准的政府采购工程，竞争性谈判小组应当由5人或以上单数组成。</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1.3谈判小组负责具体谈判和评审事务，并按照下列原则依法独立履行有关职责：</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1.3.1评审应保护国家利益、社会公共利益和各方当事人合法权益，提高采购效益，保证项目质量。</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1.3.2评审应遵循公平、公正、科学、严谨和择优原则。</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1.3.3评审的依据是谈判文件和响应文件，谈判文件中没有规定的评审标准不得作为评审依据。</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1.3.4谈判小组应按照谈判文件规定推荐成交候选供应商或根据采购人的授权确定成交供应商。</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1.3.5评审应遵守下列评审纪律：</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①评审情况不得私自外泄，有关信息由采购人或其委托的代理机构统一对外发布。</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②对采购人或供应商提供的要求保密的资料，不得摘记翻印和外传。</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③不得收受供应商或有关人员的任何礼物，不得串联鼓动其他人袒护某供应商。若与供应商存在利害关系，则应主动声明并回避。</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④全体谈判小组成员应按照谈判文件规定进行评审，一切认定事项应查有实据且不得弄虚作假。</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⑤评审中应充分发扬民主，推荐成交供应商候选人或根据采购人授权确定成交供应商后要服从评审报告。</w:t>
      </w:r>
    </w:p>
    <w:p>
      <w:pPr>
        <w:pStyle w:val="3"/>
        <w:keepNext w:val="0"/>
        <w:keepLines w:val="0"/>
        <w:widowControl/>
        <w:suppressLineNumbers w:val="0"/>
        <w:spacing w:before="75" w:beforeAutospacing="0" w:after="75" w:afterAutospacing="0" w:line="405" w:lineRule="atLeast"/>
        <w:ind w:left="0" w:right="0" w:firstLine="480"/>
      </w:pPr>
      <w:r>
        <w:rPr>
          <w:rStyle w:val="6"/>
          <w:rFonts w:hint="eastAsia" w:ascii="宋体" w:hAnsi="宋体" w:eastAsia="宋体" w:cs="宋体"/>
          <w:b/>
          <w:bCs/>
          <w:spacing w:val="0"/>
          <w:sz w:val="24"/>
          <w:szCs w:val="24"/>
        </w:rPr>
        <w:t>※对违反评审纪律的评委，将取消其评委资格，对评审工作造成严重损失者将予以通报批评乃至追究法律责任。</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Fonts w:hint="eastAsia" w:ascii="宋体" w:hAnsi="宋体" w:eastAsia="宋体" w:cs="宋体"/>
          <w:spacing w:val="0"/>
          <w:sz w:val="24"/>
          <w:szCs w:val="24"/>
        </w:rPr>
        <w:t>二、</w:t>
      </w:r>
      <w:r>
        <w:rPr>
          <w:rStyle w:val="6"/>
          <w:rFonts w:hint="eastAsia" w:ascii="宋体" w:hAnsi="宋体" w:eastAsia="宋体" w:cs="宋体"/>
          <w:b/>
          <w:bCs/>
          <w:spacing w:val="0"/>
          <w:sz w:val="24"/>
          <w:szCs w:val="24"/>
        </w:rPr>
        <w:t>谈判程序</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2.1谈判程序按照谈判文件第二章第2节“竞争性谈判须知”第14条“谈判程序以及评定成交的标准”的相关条款规定执行。</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2.2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谈判文件不能详细列明采购标的的技术、服务要求，需经谈判由供应商提供最终设计方案或解决方案的项目，则此文本框中用于填写推荐数量和投票细则等内容，由采购人根据谈判项目实际情况进行具体编制和明确规定）</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2.3只有资格审查和实质性响应审查均合格且按规定提交最后报价的合格供应商才能参加评定成交的最后价格排序和成交候选人推荐。</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b/>
          <w:bCs/>
          <w:spacing w:val="0"/>
          <w:sz w:val="24"/>
          <w:szCs w:val="24"/>
        </w:rPr>
        <w:t>三、最低评审价法和成交候选人推荐</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3.1谈判小组将采用最低评审价法对提交最后报价的合格供应商的响应文件和最后报价进行评审，并推荐成交候选人。如果谈判项目有多个合同包，则按相应合同包分别进行，具体评审的标准和方法如下：</w:t>
      </w:r>
    </w:p>
    <w:p>
      <w:pPr>
        <w:pStyle w:val="3"/>
        <w:keepNext w:val="0"/>
        <w:keepLines w:val="0"/>
        <w:widowControl/>
        <w:suppressLineNumbers w:val="0"/>
        <w:spacing w:before="0" w:beforeAutospacing="0" w:after="0" w:afterAutospacing="0" w:line="405" w:lineRule="atLeast"/>
        <w:ind w:left="0" w:right="0" w:firstLine="465"/>
      </w:pPr>
      <w:r>
        <w:rPr>
          <w:rFonts w:hint="eastAsia" w:ascii="宋体" w:hAnsi="宋体" w:eastAsia="宋体" w:cs="宋体"/>
          <w:spacing w:val="0"/>
          <w:sz w:val="24"/>
          <w:szCs w:val="24"/>
        </w:rPr>
        <w:t>3.1.1根据财政部及福建省财政厅等有关政府采购文件规定执行价格评审优惠政策，价格扣除规则如下：</w:t>
      </w:r>
    </w:p>
    <w:p>
      <w:pPr>
        <w:pStyle w:val="3"/>
        <w:keepNext w:val="0"/>
        <w:keepLines w:val="0"/>
        <w:widowControl/>
        <w:suppressLineNumbers w:val="0"/>
        <w:spacing w:before="0" w:beforeAutospacing="0" w:after="0" w:afterAutospacing="0" w:line="405" w:lineRule="atLeast"/>
        <w:ind w:left="0" w:right="0" w:firstLine="480"/>
      </w:pPr>
      <w:r>
        <w:rPr>
          <w:rFonts w:hint="eastAsia" w:ascii="宋体" w:hAnsi="宋体" w:eastAsia="宋体" w:cs="宋体"/>
          <w:spacing w:val="0"/>
          <w:sz w:val="24"/>
          <w:szCs w:val="24"/>
        </w:rPr>
        <w:t>包1:</w:t>
      </w:r>
    </w:p>
    <w:p>
      <w:pPr>
        <w:pStyle w:val="3"/>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（1）小型、微型企业产品： （1）小型、微型企业产品： （1）根据关于印发《政府采购促进中小企业发展管理办法的通知》（财库〔2020〕46号）文件及关于印发《中小企业划型标准规定的通知》(工信部联企业〔2011〕300号)文件规定，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本项目将对符合本办法规定的小微企业报价给予15%的扣除，用扣除后的价格参加评审。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参加政府采购活动的小型、微型企业应当按要求提供符合小型、微型企业的《中小企业声明函》，无须提供其他相关证明材料。 （2）根据财政部、民政部、中国残疾人联合会联合发布的《关于促进残疾人就业政府采购政策的通知》（财库[2017]141号）文件规定，符合规定的残疾人福利性单位参加政府采购活动视同小型、微型企业，提供《残疾人福利性单位声明函》并对声明的真实性负责，其报价享受15%的评审价格扣除优惠。但残疾人福利性单位属于小型、微型企业的，不重复享受该评审优惠。残疾人福利性单位享受价格扣除的货物是指只由本单位制造的货物，或者只由其他残疾人福利性单位制造的货物（不包括使用非残疾人福利性单位注册商标的货物）。对于残疾人福利性单位参与货物项目的，残疾人福利性单位应在投标文件中标明具体哪些货物是其本单位制造的货物，或者是由其他残疾人福利性单位制造的货物（不包括使用非残疾人福利性单位注册商标的货物），仅有标明部分的货物才能启动价格扣除。 （3）根据财政部、司法部联合印发《关于政府采购支持监狱企业发展有关问题的通知》（财库[2014]68号）文件及福建省财政厅、福建省司法厅联合印发《关于政府采购支持监狱企业发展的实施意见》文件规定，符合规定的监狱和戒毒企业(以下简称监狱企业)参加政府采购活动视同小型、微型企业，提供由省级以上监狱管理局、戒毒管理局（含新疆生产建设兵团）出具的属于监狱企业的证明文件，其报价享受15%的评审价格扣除优惠。 注： 1、享受扶持政策获得政府采购合同的，小微企业不得将合同分包给大中型企业，中型企业不得将合同分包给大型企业。本项目为 货物 类采购项目，采购标的对应的中小企业划分标准所属行业为 工业 。若项目为货物类采购项目，供应商须按要求将本次采购标的中所列所有采购货物的制造商情况在《中小企业声明函》中填写完整，有缺漏项的或填写不完整的，所投所有货物均将不予以价格扣除。供应商提供的声明函内容不实的或提供虚假的证明文件的，均属于提供虚假材料谋取中标、成交，一经发现将依照《中华人民共和国政府采购法》等国家有关规定追究相应责任。 。</w:t>
      </w:r>
    </w:p>
    <w:p>
      <w:pPr>
        <w:pStyle w:val="3"/>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（2）优先类节能产品、环境标志产品： 根据《财政部 发展改革委 生态环境部 市场监管总局关于调整优化节能产品、环境标志产品政府采购执行机制的通知》（财库〔2019〕9号）以及《关于印发节能产品政府采购品目清单的通知》(财库〔2019〕19号)，节能产品政府采购品目清单中的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符合《关于印发节能产品政府采购品目清单的通知》(财库〔2019〕19号)附件中《节能产品政府采购品目清单》规定，投标人须提供国家确定的认证机构出具的、处于有效期之内的节能产品认证证书复印件（若有附件，应至少提供附件中可体现所投产品页面的复印件）及《节能产品政府采购品目清单》内所对应品目页面的复印件，认证证书中的产品标准须符合《节能产品政府采购品目清单》中对应品目的依据的标准，否则投标无效。根据《财政部 发展改革委 生态环境部 市场监管总局关于调整优化节能产品、环境标志产品政府采购执行机制的通知》（财库〔2019〕9号）、《关于印发节能产品政府采购品目清单的通知》(财库〔2019〕19号)以及《关于印发环境标志产品政府采购品目清单的通知》(财库〔2019〕18号)，对所投节能(非强制类产品)、环境标志产品实施政府优先采购，供应商须提供国家确定的认证机构出具的、处于有效期之内的节能产品、环境标准产品认证证书复印件（若有附件，应至少提供附件中可体现所投产品页面的复印件）及《节能产品政府采购品目清单》、《环境标准产品政府采购品目清单》内所对应品目页面的复印件，认证证书中的产品标准须符合《节能产品政府采购品目清单》、《环境标准产品政府采购品目清单》中对应品目的依据的标准，否则不予优先采购即不享受以下评审优惠条件。节能(非强制类产品)、环境标志产品评审优惠内容及幅度如下：同一合同包内的节能、环境标志产品报价总金额占本合同包报价总金额10%（含10%）以下，给予每个单项投标报价3%的价格扣除；10%-30%（含30%），给予每个单项投标报价6%的价格扣除；30%-50%（含50%），给予每个单项投标报价8%的价格扣除；50%以上，给予每个单项投标报价10%的价格扣除。注：节能产品政府采购品目清单，以下简称“节能清单”；环境标准产品政府采购品目清单以下简称“环境清单”。本次政府采购活动已经开展但尚未进入评审环节的，执行本期和下期节能清单、环境清单。对于同时列入节能清单和环保清单的产品，优先于只列入其中一个清单的产品。投标人在递交报价文件时必须对属于节能、环境标志产品单独在节能(非强制类)、环境标志产品统计表中填写，并提供产品的证明资料复印件附在报价部分且加盖投标人公章。未单独分项报价或未按规定提供产品的证明资料的不给予价格扣除。若节能、环境标志清单内的产品仅是构成投标产品的部件、组件或零件的，则该投标产品不享受鼓励优惠政策。评标委员会审查此项响应性只根据响应文件本身的内容，而不寻求其他的外部证据 。 。</w:t>
      </w: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0" w:afterAutospacing="0" w:line="405" w:lineRule="atLeast"/>
        <w:ind w:left="0" w:right="0" w:firstLine="480"/>
      </w:pPr>
      <w:r>
        <w:rPr>
          <w:rFonts w:hint="eastAsia" w:ascii="宋体" w:hAnsi="宋体" w:eastAsia="宋体" w:cs="宋体"/>
          <w:spacing w:val="0"/>
          <w:sz w:val="24"/>
          <w:szCs w:val="24"/>
        </w:rPr>
        <w:t>c.其他：</w:t>
      </w:r>
      <w:r>
        <w:rPr>
          <w:spacing w:val="0"/>
          <w:sz w:val="24"/>
          <w:szCs w:val="24"/>
        </w:rPr>
        <w:t>无。</w:t>
      </w:r>
    </w:p>
    <w:p>
      <w:pPr>
        <w:pStyle w:val="3"/>
        <w:keepNext w:val="0"/>
        <w:keepLines w:val="0"/>
        <w:widowControl/>
        <w:suppressLineNumbers w:val="0"/>
        <w:spacing w:before="75" w:beforeAutospacing="0" w:after="75" w:afterAutospacing="0" w:line="405" w:lineRule="atLeast"/>
        <w:ind w:left="0" w:right="0" w:firstLine="465"/>
      </w:pPr>
      <w:r>
        <w:rPr>
          <w:rFonts w:hint="eastAsia" w:ascii="宋体" w:hAnsi="宋体" w:eastAsia="宋体" w:cs="宋体"/>
          <w:spacing w:val="0"/>
          <w:sz w:val="24"/>
          <w:szCs w:val="24"/>
        </w:rPr>
        <w:t>3.1.2合格供应商提交的最后报价按照上文3.1.1款规定的价格扣除规则计算后，得出的价格称为最后报价评审价。</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3.1.3谈判小组将从质量和服务均能满足采购文件实质性响应要求的供应商中，按照最后报价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按照以下方式和顺序进行处理：</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（1）谈判文件可以约定出现并列最低评审价情形时的优先顺序规则，具体规则为：</w:t>
      </w:r>
      <w:r>
        <w:rPr>
          <w:spacing w:val="0"/>
          <w:sz w:val="24"/>
          <w:szCs w:val="24"/>
        </w:rPr>
        <w:t>无。</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（2）谈判文件未约定优先顺序规则时，则由谈判小组中的采购人代表从并列最低评审价名单中自行选择确定优先顺序</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（3）采购人代表放弃自行选择确定权利的，则通过随机抽取方式确定优先顺序。</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b/>
          <w:bCs/>
          <w:spacing w:val="0"/>
          <w:sz w:val="24"/>
          <w:szCs w:val="24"/>
        </w:rPr>
        <w:t>四、评审报告</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4.1谈判小组完成评审后，应当编写评审报告并提交给采购人。</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4.2评审报告应当包括以下主要内容：</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（一）邀请供应商参加采购活动的具体方式和相关情况，以及参加采购活动的供应商名单；</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（二）评审日期和地点，谈判小组成员名单；</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（三）评审情况记录和说明，包括对供应商的资格审查情况、供应商响应文件评审情况、谈判情况、报价情况等；</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（四）提出的成交候选人的名单及理由。</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4.3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b/>
          <w:bCs/>
          <w:spacing w:val="0"/>
          <w:sz w:val="24"/>
          <w:szCs w:val="24"/>
        </w:rPr>
        <w:t>五、其他规定</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5.1其他规定</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5.1.1评审应全程保密且不得透露给任一供应商或与评审工作无关的人员。</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5.1.2评审将进行全程实时录音录像，录音录像资料随采购文件一并存档。</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5.1.3若供应商有任何试图干扰具体评审事务，影响谈判小组独立履行职责的行为，其响应无效且不予退还谈判保证金。情节严重的，由财政部门列入不良行为记录。</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5.1.4根据采购项目的特点和需要，需要加以详细说明的其他谈判程序规定、要求等内容：</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无。</w:t>
      </w: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r>
        <w:rPr>
          <w:rStyle w:val="6"/>
          <w:rFonts w:hint="eastAsia" w:ascii="宋体" w:hAnsi="宋体" w:eastAsia="宋体" w:cs="宋体"/>
          <w:b/>
          <w:bCs/>
          <w:spacing w:val="0"/>
          <w:sz w:val="24"/>
          <w:szCs w:val="24"/>
        </w:rPr>
        <w:t>第2节  竞争性谈判须知</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一、总则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1.适用范围：</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1.1适用于谈判文件载明项目的采购活动（以下简称：“本次采购活动”）。</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2.定义及要求：</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2.1“采购标的”指谈判文件载明的需要采购的货物、服务、工程。</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2.2“采购人”指本次采购项目的买方、或业主方、或甲方，具体见谈判文件第一章；“采购代理机构”系指接受采购人委托，组织开展竞争性谈判采购活动的代理机构，具体见谈判文件第一章。</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2.3“潜在供应商”按照谈判文件第一章规定进行报名，且有意向参加本项目响应谈判的供应商。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2.4“供应商”指按照谈判文件第一章规定进行报名，且已经提交响应文件的法人或其他组织或自然人。只有适合自然人参与和承接的政府采购项目，供应商才可以是自然人。</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2.5“单位负责人”指单位法定代表人（供应商为法人的）或法律、法规规定代表单位行使职权的主要负责人（供应商为其他组织的）。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2.6“供应商代表”指供应商（为法人或其他组织的）的单位负责人或由其授权的委托代理人，即单位负责人授权书中载明的接受授权方。供应商为自然人的，由本人签字并附身份证明。</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3.合格的供应商：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3.1一般规定</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3.1.1供应商应当遵守中国的有关法律、法规和规章的规定，参加政府采购活动时已经自觉检查并按照政府采购相关法律规定，主动回避相应利害关系。</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3.1.2为采购项目提供整体设计、规范编制或项目管理、监理、检测等服务的供应商，不得再参加该采购项目除整体设计、规范编制和项目管理、监理、检测等服务之外的其他采购活动</w:t>
      </w:r>
      <w:r>
        <w:rPr>
          <w:rStyle w:val="6"/>
          <w:rFonts w:hint="eastAsia" w:ascii="宋体" w:hAnsi="宋体" w:eastAsia="宋体" w:cs="宋体"/>
          <w:b/>
          <w:bCs/>
          <w:spacing w:val="0"/>
          <w:sz w:val="24"/>
          <w:szCs w:val="24"/>
        </w:rPr>
        <w:t>。</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3.1.3列入失信被执行人、重大税收违法案件当事人名单、政府采购严重违法失信行为记录名单及其他不符合《中华人民共和国政府采购法》第二十二条规定条件的供应商，不得参加政府采购活动</w:t>
      </w:r>
      <w:r>
        <w:rPr>
          <w:rStyle w:val="6"/>
          <w:rFonts w:hint="eastAsia" w:ascii="宋体" w:hAnsi="宋体" w:eastAsia="宋体" w:cs="宋体"/>
          <w:b/>
          <w:bCs/>
          <w:spacing w:val="0"/>
          <w:sz w:val="24"/>
          <w:szCs w:val="24"/>
        </w:rPr>
        <w:t>。</w:t>
      </w:r>
    </w:p>
    <w:p>
      <w:pPr>
        <w:pStyle w:val="3"/>
        <w:keepNext w:val="0"/>
        <w:keepLines w:val="0"/>
        <w:widowControl/>
        <w:suppressLineNumbers w:val="0"/>
        <w:spacing w:before="75" w:beforeAutospacing="0" w:after="75" w:afterAutospacing="0" w:line="435" w:lineRule="atLeast"/>
        <w:ind w:left="0" w:right="0" w:firstLine="480"/>
      </w:pPr>
      <w:r>
        <w:rPr>
          <w:rStyle w:val="6"/>
          <w:rFonts w:hint="eastAsia" w:ascii="宋体" w:hAnsi="宋体" w:eastAsia="宋体" w:cs="宋体"/>
          <w:b/>
          <w:bCs/>
          <w:spacing w:val="0"/>
          <w:sz w:val="24"/>
          <w:szCs w:val="24"/>
        </w:rPr>
        <w:t>供应商有责任检查自身情况，在响应文件中对是否违反以上一般规定做出如实声明，否则其响应文件将被否决。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3.2特别规定</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3.2.1供应商的资格要求：详见竞争性谈判须知前附表第1项。</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3.2.2是否接受联合体形式的响应谈判：详见竞争性谈判须知前附表第2项。若接受联合体形式且供应商为联合体，则联合体各方除了应遵守本章第3.1条规定外，还应遵守下列规定：</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（1）联合体各方应提交联合体协议，联合体协议应符合谈判文件规定。</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（2）联合体各方不得再单独参加或与其他供应商另外组成联合体参加同一合同项下的响应谈判。</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4.参与竞争性谈判费用：</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4.1除法律法规或采购文件另有规定之外，供应商应自行承担其准备与参加竞争性谈判所涉及的一切费用。</w:t>
      </w:r>
    </w:p>
    <w:p>
      <w:pPr>
        <w:pStyle w:val="3"/>
        <w:keepNext w:val="0"/>
        <w:keepLines w:val="0"/>
        <w:widowControl/>
        <w:suppressLineNumbers w:val="0"/>
        <w:spacing w:before="75" w:beforeAutospacing="0" w:after="75" w:afterAutospacing="0" w:line="435" w:lineRule="atLeast"/>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二、竞争性谈判文件</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5.竞争性谈判文件的组成：</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5.1竞争性谈判文件由下述部分组成：</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第一章 采购公告（或采购邀请书）</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第二章 竞争性谈判须知</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第三章 采购内容及要求</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第四章 合同主要条款及格式</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第五章 首次响应文件格式</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5.2除上述内容以外，采购人、采购代理机构或者谈判小组在采购过程期间对谈判文件所作的澄清、修改或补充，均构成谈判文件的组成部分，对采购人和供应商具有约束力。</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6.竞争性谈判文件的澄清、补充或修改：</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6.1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3个工作日前，以书面形式通知所有获取谈判文件的潜在供应商，不足3个工作日的，采购人、采购代理机构或谈判小组将顺延提交首次响应文件的截止时间。</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6.2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三、响应文件编制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7.应标要求</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7.1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Style w:val="6"/>
          <w:rFonts w:hint="eastAsia" w:ascii="宋体" w:hAnsi="宋体" w:eastAsia="宋体" w:cs="宋体"/>
          <w:b/>
          <w:bCs/>
          <w:spacing w:val="0"/>
          <w:sz w:val="24"/>
          <w:szCs w:val="24"/>
        </w:rPr>
        <w:t>否则其相应合同包的响应文件将被否决。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7.2供应商代表在同一个合同项下只能接受一个供应商的委托参加响应谈判，</w:t>
      </w:r>
      <w:r>
        <w:rPr>
          <w:rStyle w:val="6"/>
          <w:rFonts w:hint="eastAsia" w:ascii="宋体" w:hAnsi="宋体" w:eastAsia="宋体" w:cs="宋体"/>
          <w:b/>
          <w:bCs/>
          <w:spacing w:val="0"/>
          <w:sz w:val="24"/>
          <w:szCs w:val="24"/>
        </w:rPr>
        <w:t>否则其响应文件将被否决。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7.3供应商应仔细阅读谈判文件的所有内容和要求，按谈判文件的规定提供响应文件，并对其所提供的全部资料、承诺和声明的真实性、合法性和准确性负责。</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7.4除非竞争性谈判须知前附表另有规定外，供应商提供的响应文件应使用中文文本，若有不同文字文本，以中文文本为准。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7.6除非竞争性谈判须知前附表另有规定外，供应商承诺的报价应以人民币进行报价，合同实施结算时亦以人民币支付；所有计量均采用中华人民共和国法定计量单位。</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8.首次响应文件的组成：</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8.1首次响应文件包括但不限于下列部分：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（1）谈判响应声明</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（2）报价一览表（含详细报价书）</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（3）资格证明文件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（4）谈判保证金凭证</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（5）技术和商务偏离表</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（6）相关技术、商务、服务响应承诺及资料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（7）供应商提交符合政府采购政策的证明材料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（8）要求作为响应文件组成部分的其他内容（若有）</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9.响应文件有效期：</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9.1响应文件有效期见竞争性谈判须知前附表第3项，响应文件承诺的有效期不得少于谈判文件载明的有效期，</w:t>
      </w:r>
      <w:r>
        <w:rPr>
          <w:rStyle w:val="6"/>
          <w:rFonts w:hint="eastAsia" w:ascii="宋体" w:hAnsi="宋体" w:eastAsia="宋体" w:cs="宋体"/>
          <w:b/>
          <w:bCs/>
          <w:spacing w:val="0"/>
          <w:sz w:val="24"/>
          <w:szCs w:val="24"/>
        </w:rPr>
        <w:t>否则其响应文件将被否决。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9.2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10.谈判保证金：</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10.1供应商应在参加竞争性谈判之前按竞争性谈判须知前附表第4项规定的金额、形式等要求提交谈判保证金。谈判文件若接受联合体形式且供应商为联合体的，则由联合体中的牵头方负责提交谈判保证金，其提交的谈判保证金对联合体各方均具有约束力。</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10.2谈判保证金为响应文件的重要组成部分之一。谈判保证金用于保护本次谈判活动免受供应商的违约或失信行为而引起的风险。未按规定提交谈判保证金的，</w:t>
      </w:r>
      <w:r>
        <w:rPr>
          <w:rStyle w:val="6"/>
          <w:rFonts w:hint="eastAsia" w:ascii="宋体" w:hAnsi="宋体" w:eastAsia="宋体" w:cs="宋体"/>
          <w:b/>
          <w:bCs/>
          <w:spacing w:val="0"/>
          <w:sz w:val="24"/>
          <w:szCs w:val="24"/>
        </w:rPr>
        <w:t>其响应文件将被否决。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10.3谈判保证金退还：</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10.3.1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未成交供应商的保证金将在成交通知书发出后5个工作日内退还，成交供应商的保证金将在采购合同签订后5个工作日内退还。关于谈判保证金退还的其它要求见竞争性谈判须知前附表第5项。</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10.3.2质疑或投诉涉及的供应商，若其谈判保证金尚未退还，则待质疑或投诉处理完毕后，且没有发生法律法规或者谈判文件规定的不予退还谈判保证金情形，则由采购人或采购代理机构给予及时退还。</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10.4如果供应商发生以下任何一种情况时，其谈判保证金将被不予退还：</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(1)供应商在提交响应文件截止时间后撤回响应文件的；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(2)供应商在响应文件中提供虚假材料的；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(3)除因不可抗力或谈判文件认可的情形以外，成交供应商不与采购人签订合同的；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(4)供应商与采购人、其他供应商或者采购代理机构恶意串通的；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(5)供应商在提交最后报价后要求退出谈判的；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(6)供应商假借以他人名义参加谈判或者以其他方式弄虚作假，骗取成交；</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(7)国家法律法规以及谈判文件中规定的其他谈判保证金不予退还的情形。</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上述不予退还谈判保证金的情况不能抵偿给采购人或采购代理机构造成损失的，供应商还要承担赔偿责任。</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11.纸质响应文件基本编制要求：</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11.1供应商须编制由本须知规定组成的响应文件正副本份数详见竞争性谈判须知前附表第6项。响应文件正本和全部副本均应使用不能擦去的墨料或墨水打印、书写或复印，副本可以用正本的完整复印件。响应文件封面上应标明“正本”、“副本”字样。正本与副本内容如有不一致，则以正本为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11.2响应文件应由供应商代表签字并加盖公章。供应商代表如果不是竞争性谈判须知中定义的“单位负责人”，则其响应文件中还必须提供“单位负责人授权书”。</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11.3响应文件应尽量避免涂改、行间插字或删除。如果出现上述情况，改动之处应加盖供应商单位公章或由供应商代表签字确认。</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11.4供应商应提交证明其拟提供货物、服务或工程符合谈判文件要求的技术和商务响应文件，该文件可以是文字资料、图纸和数据，并对拟提供的货物、服务或工程的主要内容进行详细描述。</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12.纸质响应文件的密封、标识、签署和提交（除谈判文件相应章节已有规定之外，电子竞争性谈判活动的具体操作流程以福建省政府采购网上公开信息系统设定的为准。）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12.1供应商应当将响应文件密封包装提交，并在外封套上标识项目名称、项目编号、供应商单位名称以及“于         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12.2供应商应当在谈判文件规定的提交响应文件截止时间前，将首次响应文件密封送达谈判文件规定的指定地点。在截止时间后送达的首次响应文件为无效文件，采购人、采购代理机构或者谈判小组将不予接收。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12.3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12.4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12.5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四、竞争性谈判</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13.评审和谈判基本准则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13.1对所有供应商的评审和谈判，都采用相同的程序和标准。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13.2谈判及评审过程将严格按照谈判文件的要求和条件进行，谈判小组将根据供应商的响应文件，按谈判文件规定的谈判程序和评定成交标准进行评审和谈判，并推荐成交候选人。</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14.谈判程序以及评定成交标准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14.1采购人将根据项目的特点依法组建谈判小组。谈判小组将根据谈判文件规定的程序、评定成交标准等内容对供应商进行评审、谈判。</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14.2 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14.2.1供应商有下列情况之一者，其提交的响应文件将被视为未实质性响应谈判文件要求，谈判小组将否决其响应文件，按无效处理：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(1)响应文件中提供的资格证明文件不全的；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(2)响应文件未按谈判文件规定由供应商代表签字，或未按谈判文件规定加盖供应商单位公章的；或供应商代表未获得有效授权的；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(3)供应商未按谈判文件规定提交谈判保证金的；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(4)响应文件有效期不满足谈判文件要求的；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(5)响应内容与谈判采购内容及要求有重大偏离或保留的，限制了采购人的权利或者减少成交供应商合同项下的义务；（由于谈判项目本身特点，不能详细列明采购标的的技术、服务要求的除外）；</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(6)响应文件中附有采购人无法接受的条件的；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(7)不符合谈判文件中规定的其它实质性条款（比如：报价超过了谈判文件规定的最高限价）。</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14.2.2其他情形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第三章采购内容及要求中“二、技术和服务要求”有负偏离的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第三章采购内容及要求中“三、商务条件”有负偏离的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不符合谈判文件中规定的其它实质性要求的条款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不符合谈判文件中规定的其它实质性要求的条款</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第三章采购内容及要求中“二、技术和服务要求”有负偏离的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不符合谈判文件中规定的其它实质性要求的条款</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第三章采购内容及要求中“三、商务条件”有负偏离的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不符合谈判文件中规定的其它实质性要求的条款</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6"/>
          <w:rFonts w:ascii="宋体" w:hAnsi="宋体" w:eastAsia="宋体" w:cs="宋体"/>
          <w:b/>
          <w:bCs/>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谈判小组决定供应商的响应性只根据响应文件本身的内容，而不寻求其他的外部证据。</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14.3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14.4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7项。</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14.5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14.6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2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14.7谈判文件不能详细列明采购标的的技术、服务要求，需经谈判由供应商提供最终设计方案或解决方案的，谈判结束后，谈判小组应当按照少数服从多数的原则投票推荐3家以上供应商的设计方案或者解决方案，具体推荐数量和投票细则等内容按照“竞争性谈判须知前附表”中专项附件：“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14.8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14.9谈判小组将从质量和服务均能满足采购文件实质性响应要求的供应商中，按照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相应处理方式按照“竞争性谈判须知前附表”中专项附件：“评定成交的标准和方法”的相关条款规定执行。</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14.10供应商提交的响应文件和资料将给予保密，但不退回（有关证件或证照的原件除外）。</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五、合同授予</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15.授予合同的准则：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15.1除不可抗力等因素外，合同将授予响应文件符合竞争性谈判文件要求，能够圆满地履行合同，且被谈判小组推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荐为第一成交候选人的供应商。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15.2 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15.3为维护国家利益和社会公共利益，最低报价不是被授予合同的绝对保证。</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16.确定成交供应商：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16.1采购人委托代理机构组织竞争性谈判采购活动的，采购代理机构在评审结束后2个工作日内将评审报告送采购人确认。</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16.2采购人在收到评审报告后5个工作日内，从评审报告提出的成交候选人中，根据质量和服务均能满足采购文件实质性响应要求且最后报价评审价最低的原则确定成交供应商，也可以书面授权谈判小组直接确定成交供应商。采购人逾期未确定成交供应商且不提出异议的，视为确定评审报告提出的最后报价评审价最低的供应商为成交供应商。</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17.成交通知:</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17.1采购人或者采购代理机构在成交供应商确定后2个工作日内，在省级以上财政部门指定的媒体上公告成交结果，同时向成交供应商发出成交通知书。采用书面推荐供应商参加采购活动的，还将公告采购人和评审专家的推荐意见。</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17.2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18.签订合同：</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18.1采购人与成交供应商应当自中标通知书发出之日起30个日历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18.2竞争性谈判文件、成交供应商的响应文件及其有关澄清承诺文件等，均为签订政府采购合同的依据和组成部分。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18.3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六、询问、质疑与投诉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19.询问</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19.1潜在供应商或供应商对本次采购活动的有关事项若有疑问，可向采购人或采购代理机构提出询问，采购人或采购代理机构将按照政府采购法及实施条例的有关规定进行答复。</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20.质疑</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20.1质疑应在政府采购法及实施条例规定的时效内提出，并符合下列条件：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20.1.1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20.1.2质疑人应提交质疑函原件。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20.1.3质疑函应包括下列主要内容：</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②所质疑项目的基本信息，至少包括：项目编号、项目名称等；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③所质疑的具体事项（以下简称：“质疑事项”）；</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④质疑人自身权益受到损害的事实依据和证明材料，至少包括：</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a1所质疑的具体事项事实存在的证明材料；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a2所质疑的具体事项事实导致质疑人自身权益受到损害的证明材料，如：采购文件、采购过程或成交结果违法违规，损害自已合法权益等证明材料；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⑤针对质疑事项提出的明确请求和法律依据，</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前述明确请求指质疑人提出质疑的目的、希望采购人或采购代理机构对其质疑作出的处理结果，如：暂停采购活动、修改谈判文件、停止或纠正违法违规行为、成交结果无效、废标、重新采购等，质疑人提出质疑请求还应当对相应的法律依据进行说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⑥提出质疑的日期以及质疑人代表联系方式，至少包括：姓名、手机、电子信箱、邮寄地址等。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20.2对不符合前文第20.1条规定的质疑，采购人或采购代理机构将按照下列规定进行处理：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20.2.1超过质疑时效提交的或者质疑人不是直接参与所质疑项目采购活动的供应商，书面告知质疑人其质疑不成立的原因和理由。</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20.2.3质疑人修改、补充质疑函超过质疑时效提交的按20.2.1款处理。供应商提交质疑函时，要认真阅读本章第20条关于质疑的相关规定，以免内容或资料不齐，需要修改补充而延误时间。</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20.3对符合前文第20.1条规定的质疑，采购人或采购代理机构将按照政府采购法及实施条例的有关规定进行答复。</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21.投诉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21.1若对质疑答复不满意或质疑答复未在答复期限内作出，质疑人可在答复期限届满之日起15个工作日内向谈判文件中载明的监督管理部门投诉。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21.1投诉应有明确的请求和必要的证明材料，投诉的事项不得超出已质疑事项的范围。</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七、有关信息公告和监督部门</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22.政府采购信息公告媒体</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22.1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22.2信息公告指定媒体：详见竞争性谈判须知前附表第8项。</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23.监督管理部门</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23.1谈判采购活动的监督管理部门详见竞争性谈判须知前附表第9项。</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八、根据采购项目特点或政策需要补充的其他内容</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24.履约保证金</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24.1采购人可以根据项目特点和需要，确定是否要求成交供应商在合同签订前，按照谈判文件规定的时间、形式、金额提交履约保证金，履约保证金的数额不超过中标合同金额的10%，具体详见竞争性谈判须知前附表第10项规定。</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24.2谈判文件要求在合同签订前提交履约保证金，如果成交供应商无故拖延或者拒不提交履约保证金的，则视为成交供应商拒绝与采购人签订合同，该成交供应商将承担违法行为的法律责任。</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25.其他新增内容：</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根据采购项目特点或政策需要补充的其他新增内容详见竞争性谈判须知前附表第11项。</w:t>
      </w:r>
    </w:p>
    <w:p>
      <w:pPr>
        <w:pStyle w:val="3"/>
        <w:keepNext w:val="0"/>
        <w:keepLines w:val="0"/>
        <w:widowControl/>
        <w:suppressLineNumbers w:val="0"/>
        <w:shd w:val="clear" w:fill="FFFFFF"/>
        <w:spacing w:before="75" w:beforeAutospacing="0" w:after="75" w:afterAutospacing="0" w:line="435" w:lineRule="atLeast"/>
        <w:ind w:left="0" w:right="0" w:firstLine="0"/>
        <w:rPr>
          <w:rFonts w:hint="eastAsia" w:ascii="微软雅黑" w:hAnsi="微软雅黑" w:eastAsia="微软雅黑" w:cs="微软雅黑"/>
          <w:i w:val="0"/>
          <w:iCs w:val="0"/>
          <w:caps w:val="0"/>
          <w:color w:val="393939"/>
          <w:spacing w:val="0"/>
          <w:sz w:val="19"/>
          <w:szCs w:val="19"/>
        </w:rPr>
      </w:pP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br w:type="textWrapping"/>
      </w:r>
      <w:r>
        <w:rPr>
          <w:rStyle w:val="6"/>
          <w:rFonts w:hint="eastAsia" w:ascii="宋体" w:hAnsi="宋体" w:eastAsia="宋体" w:cs="宋体"/>
          <w:b/>
          <w:bCs/>
          <w:spacing w:val="0"/>
          <w:sz w:val="24"/>
          <w:szCs w:val="24"/>
        </w:rPr>
        <w:t>第三章  采购内容及要求</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一、（根据本项目实际情况，填写“采购标的”或“项目概况”）</w:t>
      </w:r>
    </w:p>
    <w:p>
      <w:pPr>
        <w:pStyle w:val="3"/>
        <w:keepNext w:val="0"/>
        <w:keepLines w:val="0"/>
        <w:widowControl/>
        <w:suppressLineNumbers w:val="0"/>
        <w:spacing w:before="0" w:beforeAutospacing="0" w:after="150" w:afterAutospacing="0"/>
        <w:ind w:left="0" w:right="0"/>
      </w:pPr>
      <w:r>
        <w:t>本项目为永泰县樟城幼儿园户外玩具采购项目。</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p>
    <w:p>
      <w:pPr>
        <w:pStyle w:val="3"/>
        <w:keepNext w:val="0"/>
        <w:keepLines w:val="0"/>
        <w:widowControl/>
        <w:suppressLineNumbers w:val="0"/>
        <w:spacing w:before="75" w:beforeAutospacing="0" w:after="75" w:afterAutospacing="0"/>
        <w:ind w:left="0" w:right="0" w:firstLine="0"/>
      </w:pPr>
      <w:r>
        <w:rPr>
          <w:spacing w:val="0"/>
          <w:sz w:val="24"/>
          <w:szCs w:val="24"/>
        </w:rPr>
        <w:t>下表所有规格尺寸参数允许</w:t>
      </w:r>
      <w:r>
        <w:rPr>
          <w:rFonts w:hint="eastAsia" w:ascii="宋体" w:hAnsi="宋体" w:eastAsia="宋体" w:cs="宋体"/>
          <w:spacing w:val="0"/>
          <w:sz w:val="21"/>
          <w:szCs w:val="21"/>
        </w:rPr>
        <w:t>±2%</w:t>
      </w:r>
    </w:p>
    <w:tbl>
      <w:tblPr>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915"/>
        <w:gridCol w:w="1425"/>
        <w:gridCol w:w="543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1725" w:hRule="atLeast"/>
        </w:trPr>
        <w:tc>
          <w:tcPr>
            <w:tcW w:w="915" w:type="dxa"/>
            <w:shd w:val="clear" w:color="auto" w:fill="FFFFFF"/>
            <w:tcMar>
              <w:top w:w="0" w:type="dxa"/>
              <w:left w:w="0" w:type="dxa"/>
              <w:bottom w:w="0" w:type="dxa"/>
              <w:right w:w="0" w:type="dxa"/>
            </w:tcMar>
            <w:vAlign w:val="center"/>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1</w:t>
            </w:r>
          </w:p>
        </w:tc>
        <w:tc>
          <w:tcPr>
            <w:tcW w:w="1425" w:type="dxa"/>
            <w:shd w:val="clear" w:color="auto" w:fill="FFFFFF"/>
            <w:tcMar>
              <w:top w:w="0" w:type="dxa"/>
              <w:left w:w="0" w:type="dxa"/>
              <w:bottom w:w="0" w:type="dxa"/>
              <w:right w:w="0" w:type="dxa"/>
            </w:tcMar>
            <w:vAlign w:val="center"/>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户外大型玩具</w:t>
            </w:r>
          </w:p>
        </w:tc>
        <w:tc>
          <w:tcPr>
            <w:tcW w:w="5430" w:type="dxa"/>
            <w:shd w:val="clear" w:color="auto" w:fill="FFFFFF"/>
            <w:tcMar>
              <w:top w:w="0" w:type="dxa"/>
              <w:left w:w="0" w:type="dxa"/>
              <w:bottom w:w="0" w:type="dxa"/>
              <w:right w:w="0" w:type="dxa"/>
            </w:tcMar>
            <w:vAlign w:val="center"/>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规格：12* 5.9*5.8m  按实际场地定制，整体包含：木制楼梯、木制平台、圆形钢架平台、钢架斜攀爬、钢架绳网钻爬架、漏斗式漏斗攀爬网架、绳网钻笼、功能攀爬、拼接单滑、螺旋筒滑、装饰顶等 具体要求：</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1.铁制部件：钢架结构，面层铺设柳桉木板，主立柱采用直径114mm、厚2mm镀锌钢管，平台主支撑采用8*8cm镀锌钢管，护栏采用直径32mm、25mm镀锌钢管，钢架绳网钻爬架采用10*10cm厚2mm镀锌方管，绳网钻笼采用直径32mm镀锌钢管，所有铁件部分采用二氧化碳气体保护焊，焊接成型后，经机械抛光后表面用塑粉静电喷塑，高温加热后，不褪色，不掉色，色彩鲜艳，经久耐用</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2.木制部件:优质柳桉木。立柱：10*10cm，板材厚度不小于2.5cm。所有板材经过防潮、防虫、防腐处理。木材表面处理：经过刨光、砂光、倒角、圆角处理，成品无毛刺、无裂纹，接缝自然，无明显缺口和缝隙；喷漆均匀，表面漆膜平整光亮、无皱皮、发粘和漏漆现象。油漆采用环保净味油漆，五底三面，均为整体喷涂漆面。</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3.塑料：采用食品级工程塑料粒子，无毒无味，渗入抗紫外线，光稳定剂及抗静电剂，高级颜料粉，防脱色、韧性好、高强度（壁厚≥6mm）、两面光滑、不褪色。</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4.网绳类：采用直径13mm带钢丝专业攀爬网绳，结实耐用，不易老化，网绳编织间距均匀，采用专用铝合金绳网扣连接，网格大小符合国家标准，可长期使用不变形，不风化，结实耐用</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5.五金零件:采用不锈钢螺丝连接固定，螺母处加盖塑料盖帽确保无锐利的棱角裸露，防止划伤儿童.要求：1. 提供大型玩产品：滑梯，通过UV老化测试试验，测试时间5000h，测试后，样品表面无粉化、裂纹现象的检测报告（提供封面具有CNAS或CMA标识的有效检验报告复印件并加盖投标人公章做为依据，原件备查）；2.提供产品油漆中：苯、甲苯、乙苯、二甲苯；特定元素的迁移量；游离甲醛；多环芳香烃（不少于18种）等含量检测合格的检测报告（提供封面具有CNAS或CMA标识的有效检验报告复印件并加盖投标人公章做为依据，原件备查）</w:t>
            </w:r>
          </w:p>
        </w:tc>
        <w:tc>
          <w:tcPr>
            <w:tcW w:w="825" w:type="dxa"/>
            <w:shd w:val="clear" w:color="auto" w:fill="FFFFFF"/>
            <w:tcMar>
              <w:top w:w="0" w:type="dxa"/>
              <w:left w:w="0" w:type="dxa"/>
              <w:bottom w:w="0" w:type="dxa"/>
              <w:right w:w="0" w:type="dxa"/>
            </w:tcMar>
            <w:vAlign w:val="center"/>
          </w:tcPr>
          <w:p>
            <w:pPr>
              <w:pStyle w:val="3"/>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1</w:t>
            </w:r>
          </w:p>
        </w:tc>
      </w:tr>
    </w:tbl>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1、交付地点：福建省福州市永泰县上马路27号</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2、交付时间：合同签订后 (5 ) 天内交货</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3、交付条件：验收合格并交付使用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4、是否收取履约保证金：否</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5、是否邀请投标人参与验收：否</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6、验收方式数据表格</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66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经采购人确认后完成验收</w:t>
            </w:r>
          </w:p>
        </w:tc>
      </w:tr>
    </w:tbl>
    <w:p>
      <w:pPr>
        <w:keepNext w:val="0"/>
        <w:keepLines w:val="0"/>
        <w:widowControl/>
        <w:suppressLineNumbers w:val="0"/>
        <w:jc w:val="left"/>
      </w:pPr>
      <w:r>
        <w:rPr>
          <w:rFonts w:ascii="宋体" w:hAnsi="宋体" w:eastAsia="宋体" w:cs="宋体"/>
          <w:kern w:val="0"/>
          <w:sz w:val="24"/>
          <w:szCs w:val="24"/>
          <w:lang w:val="en-US" w:eastAsia="zh-CN" w:bidi="ar"/>
        </w:rPr>
        <w:t>7、支付方式数据表格</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1664"/>
        <w:gridCol w:w="49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按合同约定执行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余款5%按合同约定执行</w:t>
            </w:r>
          </w:p>
        </w:tc>
      </w:tr>
    </w:tbl>
    <w:p>
      <w:pPr>
        <w:pStyle w:val="3"/>
        <w:keepNext w:val="0"/>
        <w:keepLines w:val="0"/>
        <w:widowControl/>
        <w:suppressLineNumbers w:val="0"/>
        <w:spacing w:before="0" w:beforeAutospacing="0" w:after="150" w:afterAutospacing="0" w:line="293" w:lineRule="atLeast"/>
        <w:ind w:left="0" w:right="0" w:firstLine="375"/>
      </w:pPr>
      <w:r>
        <w:rPr>
          <w:rFonts w:hint="eastAsia" w:ascii="宋体" w:hAnsi="宋体" w:eastAsia="宋体" w:cs="宋体"/>
          <w:spacing w:val="0"/>
          <w:sz w:val="24"/>
          <w:szCs w:val="24"/>
        </w:rPr>
        <w:t>8、售后服 务要求：</w:t>
      </w:r>
    </w:p>
    <w:p>
      <w:pPr>
        <w:pStyle w:val="3"/>
        <w:keepNext w:val="0"/>
        <w:keepLines w:val="0"/>
        <w:widowControl/>
        <w:suppressLineNumbers w:val="0"/>
        <w:spacing w:before="0" w:beforeAutospacing="0" w:after="150" w:afterAutospacing="0" w:line="293" w:lineRule="atLeast"/>
        <w:ind w:left="0" w:right="0" w:firstLine="375"/>
      </w:pPr>
      <w:r>
        <w:rPr>
          <w:rFonts w:hint="eastAsia" w:ascii="宋体" w:hAnsi="宋体" w:eastAsia="宋体" w:cs="宋体"/>
          <w:spacing w:val="0"/>
          <w:sz w:val="24"/>
          <w:szCs w:val="24"/>
        </w:rPr>
        <w:t>8.1成交人负责产品的安装、调试，以及免费对采购人操作人员进行培训，直至有关人员熟练掌握后，交付采购人使用。培训内容应包括项目涉及的所有产品、以及有关产品安装、维护、保养、等方面。</w:t>
      </w:r>
    </w:p>
    <w:p>
      <w:pPr>
        <w:pStyle w:val="3"/>
        <w:keepNext w:val="0"/>
        <w:keepLines w:val="0"/>
        <w:widowControl/>
        <w:suppressLineNumbers w:val="0"/>
        <w:spacing w:before="0" w:beforeAutospacing="0" w:after="150" w:afterAutospacing="0" w:line="293" w:lineRule="atLeast"/>
        <w:ind w:left="0" w:right="0" w:firstLine="375"/>
      </w:pPr>
      <w:r>
        <w:rPr>
          <w:rFonts w:hint="eastAsia" w:ascii="宋体" w:hAnsi="宋体" w:eastAsia="宋体" w:cs="宋体"/>
          <w:spacing w:val="0"/>
          <w:sz w:val="24"/>
          <w:szCs w:val="24"/>
        </w:rPr>
        <w:t>8.2本项目产品质量免费保修期1年，质量免费保修期自实际交货并验收合格之日起计算。在质保期内，非因操作不当造成要更换的零配件及产品的由成交人负责保修、包换。</w:t>
      </w:r>
    </w:p>
    <w:p>
      <w:pPr>
        <w:pStyle w:val="3"/>
        <w:keepNext w:val="0"/>
        <w:keepLines w:val="0"/>
        <w:widowControl/>
        <w:suppressLineNumbers w:val="0"/>
        <w:spacing w:before="0" w:beforeAutospacing="0" w:after="150" w:afterAutospacing="0" w:line="293" w:lineRule="atLeast"/>
        <w:ind w:left="0" w:right="0" w:firstLine="375"/>
      </w:pPr>
      <w:r>
        <w:rPr>
          <w:rFonts w:hint="eastAsia" w:ascii="宋体" w:hAnsi="宋体" w:eastAsia="宋体" w:cs="宋体"/>
          <w:spacing w:val="0"/>
          <w:sz w:val="24"/>
          <w:szCs w:val="24"/>
        </w:rPr>
        <w:t>8.3在质保期内，产品使用过程中发生故障时，成交人在24小时内做出回应，若48小时内无法排除故障,则应先提供同档 次设备供采购人使用,其中发生一切费用由成交人承担。若以上情况成交人无法按时响应处理,采购人可另行安排人员搬运、安装及维修,其中一切费用由成交人承担。质保期外，按成本价提供配件及服务。</w:t>
      </w:r>
    </w:p>
    <w:p>
      <w:pPr>
        <w:pStyle w:val="3"/>
        <w:keepNext w:val="0"/>
        <w:keepLines w:val="0"/>
        <w:widowControl/>
        <w:suppressLineNumbers w:val="0"/>
        <w:spacing w:before="0" w:beforeAutospacing="0" w:after="150" w:afterAutospacing="0" w:line="293" w:lineRule="atLeast"/>
        <w:ind w:left="0" w:right="0" w:firstLine="375"/>
      </w:pPr>
      <w:r>
        <w:rPr>
          <w:rFonts w:hint="eastAsia" w:ascii="宋体" w:hAnsi="宋体" w:eastAsia="宋体" w:cs="宋体"/>
          <w:spacing w:val="0"/>
          <w:sz w:val="24"/>
          <w:szCs w:val="24"/>
        </w:rPr>
        <w:t>9、违约责任</w:t>
      </w:r>
    </w:p>
    <w:p>
      <w:pPr>
        <w:pStyle w:val="3"/>
        <w:keepNext w:val="0"/>
        <w:keepLines w:val="0"/>
        <w:widowControl/>
        <w:suppressLineNumbers w:val="0"/>
        <w:spacing w:before="0" w:beforeAutospacing="0" w:after="150" w:afterAutospacing="0" w:line="293" w:lineRule="atLeast"/>
        <w:ind w:left="0" w:right="0" w:firstLine="375"/>
      </w:pPr>
      <w:r>
        <w:rPr>
          <w:rFonts w:hint="eastAsia" w:ascii="宋体" w:hAnsi="宋体" w:eastAsia="宋体" w:cs="宋体"/>
          <w:spacing w:val="0"/>
          <w:sz w:val="24"/>
          <w:szCs w:val="24"/>
        </w:rPr>
        <w:t>9.1成交人按合同清单上的货物运达指 定地点并安装调试完成后，采购人应严格按照招标文件要求在双方约定的时间内进行验收，采购人无正当理由不得无故拖延验收时间。</w:t>
      </w:r>
    </w:p>
    <w:p>
      <w:pPr>
        <w:pStyle w:val="3"/>
        <w:keepNext w:val="0"/>
        <w:keepLines w:val="0"/>
        <w:widowControl/>
        <w:suppressLineNumbers w:val="0"/>
        <w:spacing w:before="0" w:beforeAutospacing="0" w:after="150" w:afterAutospacing="0" w:line="293" w:lineRule="atLeast"/>
        <w:ind w:left="0" w:right="0" w:firstLine="375"/>
      </w:pPr>
      <w:r>
        <w:rPr>
          <w:rFonts w:hint="eastAsia" w:ascii="宋体" w:hAnsi="宋体" w:eastAsia="宋体" w:cs="宋体"/>
          <w:spacing w:val="0"/>
          <w:sz w:val="24"/>
          <w:szCs w:val="24"/>
        </w:rPr>
        <w:t>9.2成交人所交货物不符合本文件合同要求的，采购人有权拒收并没收其履约保证金。</w:t>
      </w:r>
    </w:p>
    <w:p>
      <w:pPr>
        <w:pStyle w:val="3"/>
        <w:keepNext w:val="0"/>
        <w:keepLines w:val="0"/>
        <w:widowControl/>
        <w:suppressLineNumbers w:val="0"/>
        <w:spacing w:before="0" w:beforeAutospacing="0" w:after="150" w:afterAutospacing="0" w:line="293" w:lineRule="atLeast"/>
        <w:ind w:left="0" w:right="0" w:firstLine="375"/>
      </w:pPr>
      <w:r>
        <w:rPr>
          <w:rFonts w:hint="eastAsia" w:ascii="宋体" w:hAnsi="宋体" w:eastAsia="宋体" w:cs="宋体"/>
          <w:spacing w:val="0"/>
          <w:sz w:val="24"/>
          <w:szCs w:val="24"/>
        </w:rPr>
        <w:t>9.3成交人不能交付货物的，采购人没收其履约保证金。</w:t>
      </w:r>
    </w:p>
    <w:p>
      <w:pPr>
        <w:pStyle w:val="3"/>
        <w:keepNext w:val="0"/>
        <w:keepLines w:val="0"/>
        <w:widowControl/>
        <w:suppressLineNumbers w:val="0"/>
        <w:spacing w:before="0" w:beforeAutospacing="0" w:after="150" w:afterAutospacing="0" w:line="293" w:lineRule="atLeast"/>
        <w:ind w:left="0" w:right="0" w:firstLine="375"/>
      </w:pPr>
      <w:r>
        <w:rPr>
          <w:rFonts w:hint="eastAsia" w:ascii="宋体" w:hAnsi="宋体" w:eastAsia="宋体" w:cs="宋体"/>
          <w:spacing w:val="0"/>
          <w:sz w:val="24"/>
          <w:szCs w:val="24"/>
        </w:rPr>
        <w:t>9.4成交人逾期交付货物，成交人应向采购人每日偿付货款5‰的违约金。</w:t>
      </w:r>
    </w:p>
    <w:p>
      <w:pPr>
        <w:pStyle w:val="3"/>
        <w:keepNext w:val="0"/>
        <w:keepLines w:val="0"/>
        <w:widowControl/>
        <w:suppressLineNumbers w:val="0"/>
        <w:spacing w:before="0" w:beforeAutospacing="0" w:after="150" w:afterAutospacing="0"/>
        <w:ind w:left="0" w:right="0"/>
      </w:pP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 </w:t>
      </w:r>
    </w:p>
    <w:p>
      <w:pPr>
        <w:keepNext w:val="0"/>
        <w:keepLines w:val="0"/>
        <w:widowControl/>
        <w:suppressLineNumbers w:val="0"/>
        <w:jc w:val="left"/>
      </w:pPr>
      <w:r>
        <w:rPr>
          <w:rFonts w:hint="eastAsia" w:ascii="微软雅黑" w:hAnsi="微软雅黑" w:eastAsia="微软雅黑" w:cs="微软雅黑"/>
          <w:i w:val="0"/>
          <w:iCs w:val="0"/>
          <w:caps w:val="0"/>
          <w:color w:val="393939"/>
          <w:spacing w:val="0"/>
          <w:kern w:val="0"/>
          <w:sz w:val="19"/>
          <w:szCs w:val="19"/>
          <w:shd w:val="clear" w:fill="FFFFFF"/>
          <w:lang w:val="en-US" w:eastAsia="zh-CN" w:bidi="ar"/>
        </w:rPr>
        <w:t> </w:t>
      </w:r>
    </w:p>
    <w:p>
      <w:pPr>
        <w:pStyle w:val="3"/>
        <w:keepNext w:val="0"/>
        <w:keepLines w:val="0"/>
        <w:widowControl/>
        <w:suppressLineNumbers w:val="0"/>
        <w:shd w:val="clear" w:fill="FFFFFF"/>
        <w:spacing w:before="75" w:beforeAutospacing="0" w:after="75" w:afterAutospacing="0" w:line="465" w:lineRule="atLeast"/>
        <w:ind w:left="0" w:right="0" w:firstLine="0"/>
        <w:rPr>
          <w:rFonts w:hint="eastAsia" w:ascii="微软雅黑" w:hAnsi="微软雅黑" w:eastAsia="微软雅黑" w:cs="微软雅黑"/>
          <w:i w:val="0"/>
          <w:iCs w:val="0"/>
          <w:caps w:val="0"/>
          <w:color w:val="393939"/>
          <w:spacing w:val="0"/>
          <w:sz w:val="19"/>
          <w:szCs w:val="19"/>
        </w:rPr>
      </w:pP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br w:type="textWrapping"/>
      </w:r>
      <w:r>
        <w:rPr>
          <w:rStyle w:val="6"/>
          <w:rFonts w:hint="eastAsia" w:ascii="宋体" w:hAnsi="宋体" w:eastAsia="宋体" w:cs="宋体"/>
          <w:b/>
          <w:bCs/>
          <w:spacing w:val="0"/>
          <w:sz w:val="24"/>
          <w:szCs w:val="24"/>
        </w:rPr>
        <w:t>第四章  合同主要条款及格式</w:t>
      </w:r>
    </w:p>
    <w:p>
      <w:pPr>
        <w:pStyle w:val="3"/>
        <w:keepNext w:val="0"/>
        <w:keepLines w:val="0"/>
        <w:widowControl/>
        <w:suppressLineNumbers w:val="0"/>
        <w:spacing w:before="75" w:beforeAutospacing="0" w:after="75" w:afterAutospacing="0" w:line="435" w:lineRule="atLeast"/>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编制说明</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1、签订合同应遵守《中华人民共和国政府采购法》、《中华人民共和国民法典》。</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2、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3.本章节所附的合同主要条款及格式为参考文本，如果因为项目实际特点不能适用，则可由甲乙双方在合同签订阶段可通过友好协商进行约定。</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永泰县樟城小学</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根据项目编号为</w:t>
      </w:r>
      <w:r>
        <w:rPr>
          <w:rFonts w:hint="eastAsia" w:ascii="宋体" w:hAnsi="宋体" w:eastAsia="宋体" w:cs="宋体"/>
          <w:spacing w:val="0"/>
          <w:sz w:val="24"/>
          <w:szCs w:val="24"/>
          <w:u w:val="single"/>
        </w:rPr>
        <w:t>[350125]FJLQ[TP]2022007</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永泰县樟城幼儿园户外玩具采购</w:t>
      </w:r>
      <w:r>
        <w:rPr>
          <w:rFonts w:hint="eastAsia" w:ascii="宋体" w:hAnsi="宋体" w:eastAsia="宋体" w:cs="宋体"/>
          <w:spacing w:val="0"/>
          <w:sz w:val="24"/>
          <w:szCs w:val="24"/>
        </w:rPr>
        <w:t>项目（以下简称：“本项目”）的谈判结果，乙方为成交供应商。现经甲乙双方友好协商，就以下事项达成一致并签订本合同：</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1.2谈判文件、乙方的响应文件；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3.1合同总金额为人民币大写：元（￥）。</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5、合同标的应符合谈判文件、乙方响应文件的规定或约定，具体如下：</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6.1验收应按照谈判文件、乙方响应文件的规定或约定进行，具体如下：</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6.2本项目是否邀请其他供应商参与验收：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（按照谈判文件规定填写）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7、合同款项的支付应按照谈判文件的规定进行，具体如下：</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（按照谈判文件规定填写）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15.3本合同自签订之日起生效。</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bdr w:val="none" w:color="auto" w:sz="0" w:space="0"/>
        </w:rPr>
        <w:t>甲方：永泰县樟城小学乙方：</w:t>
      </w:r>
    </w:p>
    <w:p>
      <w:pPr>
        <w:pStyle w:val="3"/>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bdr w:val="none" w:color="auto" w:sz="0" w:space="0"/>
        </w:rPr>
        <w:t>住所：永泰县樟城镇上马路33号住所：</w:t>
      </w:r>
    </w:p>
    <w:p>
      <w:pPr>
        <w:pStyle w:val="3"/>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bdr w:val="none" w:color="auto" w:sz="0" w:space="0"/>
        </w:rPr>
        <w:t>单位负责人：单位负责人：</w:t>
      </w:r>
    </w:p>
    <w:p>
      <w:pPr>
        <w:pStyle w:val="3"/>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bdr w:val="none" w:color="auto" w:sz="0" w:space="0"/>
        </w:rPr>
        <w:t>委托代理人：委托代理人：</w:t>
      </w:r>
    </w:p>
    <w:p>
      <w:pPr>
        <w:pStyle w:val="3"/>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bdr w:val="none" w:color="auto" w:sz="0" w:space="0"/>
        </w:rPr>
        <w:t>联系方法：</w:t>
      </w:r>
      <w:r>
        <w:rPr>
          <w:rFonts w:hint="eastAsia" w:ascii="宋体" w:hAnsi="宋体" w:eastAsia="宋体" w:cs="宋体"/>
          <w:spacing w:val="0"/>
          <w:sz w:val="24"/>
          <w:szCs w:val="24"/>
          <w:bdr w:val="none" w:color="auto" w:sz="0" w:space="0"/>
          <w:lang w:val="en-US" w:eastAsia="zh-CN"/>
        </w:rPr>
        <w:t xml:space="preserve">  </w:t>
      </w:r>
      <w:r>
        <w:rPr>
          <w:rFonts w:hint="eastAsia" w:ascii="宋体" w:hAnsi="宋体" w:eastAsia="宋体" w:cs="宋体"/>
          <w:spacing w:val="0"/>
          <w:sz w:val="24"/>
          <w:szCs w:val="24"/>
          <w:bdr w:val="none" w:color="auto" w:sz="0" w:space="0"/>
        </w:rPr>
        <w:t>联系方法：</w:t>
      </w:r>
    </w:p>
    <w:p>
      <w:pPr>
        <w:pStyle w:val="3"/>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bdr w:val="none" w:color="auto" w:sz="0" w:space="0"/>
        </w:rPr>
        <w:t>开户银行：</w:t>
      </w:r>
      <w:r>
        <w:rPr>
          <w:rFonts w:hint="eastAsia" w:ascii="宋体" w:hAnsi="宋体" w:eastAsia="宋体" w:cs="宋体"/>
          <w:spacing w:val="0"/>
          <w:sz w:val="24"/>
          <w:szCs w:val="24"/>
          <w:bdr w:val="none" w:color="auto" w:sz="0" w:space="0"/>
          <w:lang w:val="en-US" w:eastAsia="zh-CN"/>
        </w:rPr>
        <w:t xml:space="preserve">  </w:t>
      </w:r>
      <w:r>
        <w:rPr>
          <w:rFonts w:hint="eastAsia" w:ascii="宋体" w:hAnsi="宋体" w:eastAsia="宋体" w:cs="宋体"/>
          <w:spacing w:val="0"/>
          <w:sz w:val="24"/>
          <w:szCs w:val="24"/>
          <w:bdr w:val="none" w:color="auto" w:sz="0" w:space="0"/>
        </w:rPr>
        <w:t>开户银行：</w:t>
      </w:r>
    </w:p>
    <w:p>
      <w:pPr>
        <w:pStyle w:val="3"/>
        <w:keepNext w:val="0"/>
        <w:keepLines w:val="0"/>
        <w:widowControl/>
        <w:suppressLineNumbers w:val="0"/>
        <w:pBdr>
          <w:left w:val="none" w:color="auto" w:sz="0" w:space="0"/>
          <w:right w:val="none" w:color="auto" w:sz="0" w:space="0"/>
        </w:pBdr>
        <w:spacing w:before="75" w:beforeAutospacing="0" w:after="75" w:afterAutospacing="0"/>
        <w:ind w:left="-180" w:right="-180" w:firstLine="0"/>
      </w:pPr>
      <w:r>
        <w:rPr>
          <w:rFonts w:hint="eastAsia" w:ascii="宋体" w:hAnsi="宋体" w:eastAsia="宋体" w:cs="宋体"/>
          <w:spacing w:val="0"/>
          <w:sz w:val="24"/>
          <w:szCs w:val="24"/>
          <w:bdr w:val="none" w:color="auto" w:sz="0" w:space="0"/>
        </w:rPr>
        <w:t>账号：账号：</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3"/>
        <w:keepNext w:val="0"/>
        <w:keepLines w:val="0"/>
        <w:widowControl/>
        <w:suppressLineNumbers w:val="0"/>
        <w:spacing w:before="75" w:beforeAutospacing="0" w:after="240"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hd w:val="clear" w:fill="FFFFFF"/>
        <w:spacing w:before="75" w:beforeAutospacing="0" w:after="75" w:afterAutospacing="0" w:line="435" w:lineRule="atLeast"/>
        <w:ind w:left="0" w:right="0" w:firstLine="0"/>
        <w:rPr>
          <w:rFonts w:hint="eastAsia" w:ascii="微软雅黑" w:hAnsi="微软雅黑" w:eastAsia="微软雅黑" w:cs="微软雅黑"/>
          <w:i w:val="0"/>
          <w:iCs w:val="0"/>
          <w:caps w:val="0"/>
          <w:color w:val="393939"/>
          <w:spacing w:val="0"/>
          <w:sz w:val="19"/>
          <w:szCs w:val="19"/>
        </w:rPr>
      </w:pP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第五章  首次响应文件格式</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编制说明</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本附件所有格式为响应文件的组成部分，供采购人或代理机构编制谈判文件时参考使用。由于新增政策、行业管理规定或者不同项目实际特点需要,则采购人或代理机构可以对有关表格进行必要的补充或修改，以满足实际项目的使用。</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除谈判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福建省政府采购项目竞争性谈判</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响应文件</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（首次）</w:t>
      </w: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1260"/>
      </w:pPr>
      <w:r>
        <w:rPr>
          <w:rStyle w:val="6"/>
          <w:rFonts w:hint="eastAsia" w:ascii="宋体" w:hAnsi="宋体" w:eastAsia="宋体" w:cs="宋体"/>
          <w:b/>
          <w:bCs/>
          <w:spacing w:val="0"/>
          <w:sz w:val="24"/>
          <w:szCs w:val="24"/>
        </w:rPr>
        <w:t>项目名称：               </w:t>
      </w:r>
    </w:p>
    <w:p>
      <w:pPr>
        <w:pStyle w:val="3"/>
        <w:keepNext w:val="0"/>
        <w:keepLines w:val="0"/>
        <w:widowControl/>
        <w:suppressLineNumbers w:val="0"/>
        <w:spacing w:before="75" w:beforeAutospacing="0" w:after="75" w:afterAutospacing="0"/>
        <w:ind w:left="0" w:right="0" w:firstLine="1260"/>
      </w:pPr>
      <w:r>
        <w:rPr>
          <w:rStyle w:val="6"/>
          <w:rFonts w:hint="eastAsia" w:ascii="宋体" w:hAnsi="宋体" w:eastAsia="宋体" w:cs="宋体"/>
          <w:b/>
          <w:bCs/>
          <w:spacing w:val="0"/>
          <w:sz w:val="24"/>
          <w:szCs w:val="24"/>
        </w:rPr>
        <w:t>项目编号：               </w:t>
      </w:r>
    </w:p>
    <w:p>
      <w:pPr>
        <w:pStyle w:val="3"/>
        <w:keepNext w:val="0"/>
        <w:keepLines w:val="0"/>
        <w:widowControl/>
        <w:suppressLineNumbers w:val="0"/>
        <w:spacing w:before="75" w:beforeAutospacing="0" w:after="75" w:afterAutospacing="0"/>
        <w:ind w:left="0" w:right="0" w:firstLine="1260"/>
      </w:pPr>
      <w:r>
        <w:rPr>
          <w:rStyle w:val="6"/>
          <w:rFonts w:hint="eastAsia" w:ascii="宋体" w:hAnsi="宋体" w:eastAsia="宋体" w:cs="宋体"/>
          <w:b/>
          <w:bCs/>
          <w:spacing w:val="0"/>
          <w:sz w:val="24"/>
          <w:szCs w:val="24"/>
        </w:rPr>
        <w:t>合同包: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供应商名称 ：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日    期 ：               </w:t>
      </w:r>
    </w:p>
    <w:p>
      <w:pPr>
        <w:pStyle w:val="3"/>
        <w:keepNext w:val="0"/>
        <w:keepLines w:val="0"/>
        <w:widowControl/>
        <w:suppressLineNumbers w:val="0"/>
        <w:spacing w:before="75" w:beforeAutospacing="0" w:after="75" w:afterAutospacing="0"/>
        <w:ind w:left="0" w:right="0" w:firstLine="0"/>
        <w:jc w:val="center"/>
      </w:pPr>
      <w:r>
        <w:rPr>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br w:type="textWrapping"/>
      </w:r>
      <w:r>
        <w:rPr>
          <w:rStyle w:val="6"/>
          <w:rFonts w:hint="eastAsia" w:ascii="宋体" w:hAnsi="宋体" w:eastAsia="宋体" w:cs="宋体"/>
          <w:b/>
          <w:bCs/>
          <w:spacing w:val="0"/>
          <w:sz w:val="24"/>
          <w:szCs w:val="24"/>
        </w:rPr>
        <w:t>目  录</w:t>
      </w:r>
    </w:p>
    <w:p>
      <w:pPr>
        <w:pStyle w:val="3"/>
        <w:keepNext w:val="0"/>
        <w:keepLines w:val="0"/>
        <w:widowControl/>
        <w:suppressLineNumbers w:val="0"/>
        <w:spacing w:before="75" w:beforeAutospacing="0" w:after="75" w:afterAutospacing="0" w:line="46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附件1：谈判响应声明</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附件2：报价一览表（含详细报价书）</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附件3：资格证明文件</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附件4：谈判保证金凭证</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附件5：技术、服务和商务响应表</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附件6：相关技术、商务、服务响应承诺及资料</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附件7：供应商提交符合政府采购政策的证明材料</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附件8：要求作为响应文件组成部分的其他内容（若有）</w:t>
      </w:r>
    </w:p>
    <w:p>
      <w:pPr>
        <w:pStyle w:val="3"/>
        <w:keepNext w:val="0"/>
        <w:keepLines w:val="0"/>
        <w:widowControl/>
        <w:suppressLineNumbers w:val="0"/>
        <w:spacing w:before="75" w:beforeAutospacing="0" w:after="75" w:afterAutospacing="0" w:line="46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br w:type="textWrapping"/>
      </w:r>
      <w:r>
        <w:rPr>
          <w:rFonts w:hint="eastAsia" w:ascii="宋体" w:hAnsi="宋体" w:eastAsia="宋体" w:cs="宋体"/>
          <w:spacing w:val="0"/>
          <w:sz w:val="24"/>
          <w:szCs w:val="24"/>
        </w:rPr>
        <w:t>附件1            </w:t>
      </w:r>
      <w:r>
        <w:rPr>
          <w:rStyle w:val="6"/>
          <w:rFonts w:hint="eastAsia" w:ascii="宋体" w:hAnsi="宋体" w:eastAsia="宋体" w:cs="宋体"/>
          <w:b/>
          <w:bCs/>
          <w:spacing w:val="0"/>
          <w:sz w:val="24"/>
          <w:szCs w:val="24"/>
        </w:rPr>
        <w:t>谈判响应声明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line="435" w:lineRule="atLeast"/>
        <w:ind w:left="0" w:right="0" w:firstLine="0"/>
        <w:jc w:val="left"/>
      </w:pPr>
      <w:r>
        <w:rPr>
          <w:rFonts w:hint="eastAsia" w:ascii="宋体" w:hAnsi="宋体" w:eastAsia="宋体" w:cs="宋体"/>
          <w:spacing w:val="0"/>
          <w:sz w:val="24"/>
          <w:szCs w:val="24"/>
        </w:rPr>
        <w:t>1.根据贵方为   项目（项目编号:   ）的采购公告（或采购邀请书），我方签字代表    （全名、职务）   经正式授权并代表的供应商       （供应商名称、地址）提交包含下述内容的首次响应文件纸质文本正本   套，副本  套及电子文档  套。</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（1）谈判响应声明</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（2）报价一览表（含详细报价书）</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（3）资格证明文件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（4）谈判保证金凭证</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（5）技术、服务和商务响应表</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（6）相关技术、商务、服务响应承诺及资料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（7）供应商提交符合政府采购政策的证明材料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（8）按照谈判文件规定，要求作为响应文件组成部分的其他内容（若有）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2.据此函，我方宣布响应承诺如下：</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2.1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2.2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2.3我方承诺：递交的所有响应文件（包括首次响应文件、补充澄清、最后报价等响应文件）在竞争性谈判须知前附表第3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2.4我方已经按照谈判文件要求提交谈判保证金。我方如果发生任何竞争性谈判文件中所述不予退还谈判保证金的情况，则我方的谈判保证金将被贵方不予退还，我方对此无异议。</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2.5我方愿意向贵方提供任何与本项目谈判采购有关的数据或资料。若贵方需要，我方愿意提供我方作出的一切承诺的证明材料。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2.6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通信地址：               .</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邮编：               传真号：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联系电话（固定电话和移动电话）：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供应商代表：     （签字） </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供应商代表电子信箱：             </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供应商：         （全称并加盖公章）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br w:type="textWrapping"/>
      </w:r>
      <w:r>
        <w:rPr>
          <w:rFonts w:hint="eastAsia" w:ascii="宋体" w:hAnsi="宋体" w:eastAsia="宋体" w:cs="宋体"/>
          <w:spacing w:val="0"/>
          <w:sz w:val="24"/>
          <w:szCs w:val="24"/>
        </w:rPr>
        <w:t>附件2</w:t>
      </w:r>
      <w:r>
        <w:rPr>
          <w:rFonts w:hint="eastAsia" w:ascii="宋体" w:hAnsi="宋体" w:eastAsia="宋体" w:cs="宋体"/>
          <w:spacing w:val="0"/>
          <w:sz w:val="28"/>
          <w:szCs w:val="28"/>
        </w:rPr>
        <w:t>              </w:t>
      </w:r>
      <w:r>
        <w:rPr>
          <w:rStyle w:val="6"/>
          <w:rFonts w:hint="eastAsia" w:ascii="宋体" w:hAnsi="宋体" w:eastAsia="宋体" w:cs="宋体"/>
          <w:b/>
          <w:bCs/>
          <w:spacing w:val="0"/>
          <w:sz w:val="36"/>
          <w:szCs w:val="36"/>
        </w:rPr>
        <w:t>   报价一览表</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供应商名称：（全称加盖单位公章）项目编号∶          货币单位：元人民币</w:t>
      </w:r>
    </w:p>
    <w:tbl>
      <w:tblPr>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1037"/>
        <w:gridCol w:w="3756"/>
        <w:gridCol w:w="1803"/>
        <w:gridCol w:w="1007"/>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915" w:hRule="atLeast"/>
        </w:trPr>
        <w:tc>
          <w:tcPr>
            <w:tcW w:w="103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合同包</w:t>
            </w:r>
          </w:p>
        </w:tc>
        <w:tc>
          <w:tcPr>
            <w:tcW w:w="375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首次报价</w:t>
            </w:r>
          </w:p>
        </w:tc>
        <w:tc>
          <w:tcPr>
            <w:tcW w:w="180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交货期/工期/项目完成时间/服务时间</w:t>
            </w:r>
          </w:p>
        </w:tc>
        <w:tc>
          <w:tcPr>
            <w:tcW w:w="100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谈判保证金</w:t>
            </w:r>
          </w:p>
        </w:tc>
        <w:tc>
          <w:tcPr>
            <w:tcW w:w="117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rPr>
        <w:tc>
          <w:tcPr>
            <w:tcW w:w="103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1"/>
                <w:szCs w:val="21"/>
              </w:rPr>
              <w:t>*</w:t>
            </w:r>
          </w:p>
        </w:tc>
        <w:tc>
          <w:tcPr>
            <w:tcW w:w="3750" w:type="dxa"/>
            <w:shd w:val="clear"/>
            <w:tcMar>
              <w:top w:w="0" w:type="dxa"/>
              <w:left w:w="105" w:type="dxa"/>
              <w:bottom w:w="0" w:type="dxa"/>
              <w:right w:w="105" w:type="dxa"/>
            </w:tcMar>
            <w:vAlign w:val="center"/>
          </w:tcPr>
          <w:p>
            <w:pPr>
              <w:keepNext w:val="0"/>
              <w:keepLines w:val="0"/>
              <w:widowControl/>
              <w:suppressLineNumbers w:val="0"/>
              <w:jc w:val="left"/>
            </w:pPr>
          </w:p>
        </w:tc>
        <w:tc>
          <w:tcPr>
            <w:tcW w:w="1800" w:type="dxa"/>
            <w:shd w:val="clear"/>
            <w:tcMar>
              <w:top w:w="0" w:type="dxa"/>
              <w:left w:w="105" w:type="dxa"/>
              <w:bottom w:w="0" w:type="dxa"/>
              <w:right w:w="105" w:type="dxa"/>
            </w:tcMar>
            <w:vAlign w:val="center"/>
          </w:tcPr>
          <w:p>
            <w:pPr>
              <w:keepNext w:val="0"/>
              <w:keepLines w:val="0"/>
              <w:widowControl/>
              <w:suppressLineNumbers w:val="0"/>
              <w:jc w:val="left"/>
            </w:pPr>
          </w:p>
        </w:tc>
        <w:tc>
          <w:tcPr>
            <w:tcW w:w="1005" w:type="dxa"/>
            <w:shd w:val="clear"/>
            <w:tcMar>
              <w:top w:w="0" w:type="dxa"/>
              <w:left w:w="105" w:type="dxa"/>
              <w:bottom w:w="0" w:type="dxa"/>
              <w:right w:w="105" w:type="dxa"/>
            </w:tcMar>
            <w:vAlign w:val="center"/>
          </w:tcPr>
          <w:p>
            <w:pPr>
              <w:keepNext w:val="0"/>
              <w:keepLines w:val="0"/>
              <w:widowControl/>
              <w:suppressLineNumbers w:val="0"/>
              <w:jc w:val="left"/>
            </w:pPr>
          </w:p>
        </w:tc>
        <w:tc>
          <w:tcPr>
            <w:tcW w:w="117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rPr>
        <w:tc>
          <w:tcPr>
            <w:tcW w:w="103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shd w:val="clear"/>
            <w:tcMar>
              <w:top w:w="0" w:type="dxa"/>
              <w:left w:w="105" w:type="dxa"/>
              <w:bottom w:w="0" w:type="dxa"/>
              <w:right w:w="105" w:type="dxa"/>
            </w:tcMar>
            <w:vAlign w:val="center"/>
          </w:tcPr>
          <w:p>
            <w:pPr>
              <w:keepNext w:val="0"/>
              <w:keepLines w:val="0"/>
              <w:widowControl/>
              <w:suppressLineNumbers w:val="0"/>
              <w:jc w:val="left"/>
            </w:pPr>
          </w:p>
        </w:tc>
        <w:tc>
          <w:tcPr>
            <w:tcW w:w="1800" w:type="dxa"/>
            <w:shd w:val="clear"/>
            <w:tcMar>
              <w:top w:w="0" w:type="dxa"/>
              <w:left w:w="105" w:type="dxa"/>
              <w:bottom w:w="0" w:type="dxa"/>
              <w:right w:w="105" w:type="dxa"/>
            </w:tcMar>
            <w:vAlign w:val="center"/>
          </w:tcPr>
          <w:p>
            <w:pPr>
              <w:keepNext w:val="0"/>
              <w:keepLines w:val="0"/>
              <w:widowControl/>
              <w:suppressLineNumbers w:val="0"/>
              <w:jc w:val="left"/>
            </w:pPr>
          </w:p>
        </w:tc>
        <w:tc>
          <w:tcPr>
            <w:tcW w:w="1005" w:type="dxa"/>
            <w:shd w:val="clear"/>
            <w:tcMar>
              <w:top w:w="0" w:type="dxa"/>
              <w:left w:w="105" w:type="dxa"/>
              <w:bottom w:w="0" w:type="dxa"/>
              <w:right w:w="105" w:type="dxa"/>
            </w:tcMar>
            <w:vAlign w:val="center"/>
          </w:tcPr>
          <w:p>
            <w:pPr>
              <w:keepNext w:val="0"/>
              <w:keepLines w:val="0"/>
              <w:widowControl/>
              <w:suppressLineNumbers w:val="0"/>
              <w:jc w:val="left"/>
            </w:pPr>
          </w:p>
        </w:tc>
        <w:tc>
          <w:tcPr>
            <w:tcW w:w="117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rPr>
        <w:tc>
          <w:tcPr>
            <w:tcW w:w="103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shd w:val="clear"/>
            <w:tcMar>
              <w:top w:w="0" w:type="dxa"/>
              <w:left w:w="105" w:type="dxa"/>
              <w:bottom w:w="0" w:type="dxa"/>
              <w:right w:w="105" w:type="dxa"/>
            </w:tcMar>
            <w:vAlign w:val="center"/>
          </w:tcPr>
          <w:p>
            <w:pPr>
              <w:keepNext w:val="0"/>
              <w:keepLines w:val="0"/>
              <w:widowControl/>
              <w:suppressLineNumbers w:val="0"/>
              <w:jc w:val="left"/>
            </w:pPr>
          </w:p>
        </w:tc>
        <w:tc>
          <w:tcPr>
            <w:tcW w:w="1800" w:type="dxa"/>
            <w:shd w:val="clear"/>
            <w:tcMar>
              <w:top w:w="0" w:type="dxa"/>
              <w:left w:w="105" w:type="dxa"/>
              <w:bottom w:w="0" w:type="dxa"/>
              <w:right w:w="105" w:type="dxa"/>
            </w:tcMar>
            <w:vAlign w:val="center"/>
          </w:tcPr>
          <w:p>
            <w:pPr>
              <w:keepNext w:val="0"/>
              <w:keepLines w:val="0"/>
              <w:widowControl/>
              <w:suppressLineNumbers w:val="0"/>
              <w:jc w:val="left"/>
            </w:pPr>
          </w:p>
        </w:tc>
        <w:tc>
          <w:tcPr>
            <w:tcW w:w="1005" w:type="dxa"/>
            <w:shd w:val="clear"/>
            <w:tcMar>
              <w:top w:w="0" w:type="dxa"/>
              <w:left w:w="105" w:type="dxa"/>
              <w:bottom w:w="0" w:type="dxa"/>
              <w:right w:w="105" w:type="dxa"/>
            </w:tcMar>
            <w:vAlign w:val="center"/>
          </w:tcPr>
          <w:p>
            <w:pPr>
              <w:keepNext w:val="0"/>
              <w:keepLines w:val="0"/>
              <w:widowControl/>
              <w:suppressLineNumbers w:val="0"/>
              <w:jc w:val="left"/>
            </w:pPr>
          </w:p>
        </w:tc>
        <w:tc>
          <w:tcPr>
            <w:tcW w:w="117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rPr>
        <w:tc>
          <w:tcPr>
            <w:tcW w:w="103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shd w:val="clear"/>
            <w:tcMar>
              <w:top w:w="0" w:type="dxa"/>
              <w:left w:w="105" w:type="dxa"/>
              <w:bottom w:w="0" w:type="dxa"/>
              <w:right w:w="105" w:type="dxa"/>
            </w:tcMar>
            <w:vAlign w:val="center"/>
          </w:tcPr>
          <w:p>
            <w:pPr>
              <w:keepNext w:val="0"/>
              <w:keepLines w:val="0"/>
              <w:widowControl/>
              <w:suppressLineNumbers w:val="0"/>
              <w:jc w:val="left"/>
            </w:pPr>
          </w:p>
        </w:tc>
        <w:tc>
          <w:tcPr>
            <w:tcW w:w="1800" w:type="dxa"/>
            <w:shd w:val="clear"/>
            <w:tcMar>
              <w:top w:w="0" w:type="dxa"/>
              <w:left w:w="105" w:type="dxa"/>
              <w:bottom w:w="0" w:type="dxa"/>
              <w:right w:w="105" w:type="dxa"/>
            </w:tcMar>
            <w:vAlign w:val="center"/>
          </w:tcPr>
          <w:p>
            <w:pPr>
              <w:keepNext w:val="0"/>
              <w:keepLines w:val="0"/>
              <w:widowControl/>
              <w:suppressLineNumbers w:val="0"/>
              <w:jc w:val="left"/>
            </w:pPr>
          </w:p>
        </w:tc>
        <w:tc>
          <w:tcPr>
            <w:tcW w:w="1005" w:type="dxa"/>
            <w:shd w:val="clear"/>
            <w:tcMar>
              <w:top w:w="0" w:type="dxa"/>
              <w:left w:w="105" w:type="dxa"/>
              <w:bottom w:w="0" w:type="dxa"/>
              <w:right w:w="105" w:type="dxa"/>
            </w:tcMar>
            <w:vAlign w:val="center"/>
          </w:tcPr>
          <w:p>
            <w:pPr>
              <w:keepNext w:val="0"/>
              <w:keepLines w:val="0"/>
              <w:widowControl/>
              <w:suppressLineNumbers w:val="0"/>
              <w:jc w:val="left"/>
            </w:pPr>
          </w:p>
        </w:tc>
        <w:tc>
          <w:tcPr>
            <w:tcW w:w="117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rPr>
        <w:tc>
          <w:tcPr>
            <w:tcW w:w="103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shd w:val="clear"/>
            <w:tcMar>
              <w:top w:w="0" w:type="dxa"/>
              <w:left w:w="105" w:type="dxa"/>
              <w:bottom w:w="0" w:type="dxa"/>
              <w:right w:w="105" w:type="dxa"/>
            </w:tcMar>
            <w:vAlign w:val="center"/>
          </w:tcPr>
          <w:p>
            <w:pPr>
              <w:keepNext w:val="0"/>
              <w:keepLines w:val="0"/>
              <w:widowControl/>
              <w:suppressLineNumbers w:val="0"/>
              <w:jc w:val="left"/>
            </w:pPr>
          </w:p>
        </w:tc>
        <w:tc>
          <w:tcPr>
            <w:tcW w:w="1800" w:type="dxa"/>
            <w:shd w:val="clear"/>
            <w:tcMar>
              <w:top w:w="0" w:type="dxa"/>
              <w:left w:w="105" w:type="dxa"/>
              <w:bottom w:w="0" w:type="dxa"/>
              <w:right w:w="105" w:type="dxa"/>
            </w:tcMar>
            <w:vAlign w:val="center"/>
          </w:tcPr>
          <w:p>
            <w:pPr>
              <w:keepNext w:val="0"/>
              <w:keepLines w:val="0"/>
              <w:widowControl/>
              <w:suppressLineNumbers w:val="0"/>
              <w:jc w:val="left"/>
            </w:pPr>
          </w:p>
        </w:tc>
        <w:tc>
          <w:tcPr>
            <w:tcW w:w="1005" w:type="dxa"/>
            <w:shd w:val="clear"/>
            <w:tcMar>
              <w:top w:w="0" w:type="dxa"/>
              <w:left w:w="105" w:type="dxa"/>
              <w:bottom w:w="0" w:type="dxa"/>
              <w:right w:w="105" w:type="dxa"/>
            </w:tcMar>
            <w:vAlign w:val="center"/>
          </w:tcPr>
          <w:p>
            <w:pPr>
              <w:keepNext w:val="0"/>
              <w:keepLines w:val="0"/>
              <w:widowControl/>
              <w:suppressLineNumbers w:val="0"/>
              <w:jc w:val="left"/>
            </w:pPr>
          </w:p>
        </w:tc>
        <w:tc>
          <w:tcPr>
            <w:tcW w:w="1170" w:type="dxa"/>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备注：详细报价书另纸详列，格式自拟。</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1"/>
          <w:szCs w:val="21"/>
        </w:rPr>
        <w:t>                                                                            </w:t>
      </w:r>
      <w:r>
        <w:rPr>
          <w:rFonts w:hint="eastAsia" w:ascii="宋体" w:hAnsi="宋体" w:eastAsia="宋体" w:cs="宋体"/>
          <w:spacing w:val="0"/>
          <w:sz w:val="24"/>
          <w:szCs w:val="24"/>
        </w:rPr>
        <w:t>         供应商代表：             （签字）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附件2-1       </w:t>
      </w:r>
      <w:r>
        <w:rPr>
          <w:rFonts w:hint="eastAsia" w:ascii="宋体" w:hAnsi="宋体" w:eastAsia="宋体" w:cs="宋体"/>
          <w:spacing w:val="0"/>
          <w:sz w:val="36"/>
          <w:szCs w:val="36"/>
        </w:rPr>
        <w:t> </w:t>
      </w:r>
      <w:r>
        <w:rPr>
          <w:rStyle w:val="6"/>
          <w:rFonts w:hint="eastAsia" w:ascii="宋体" w:hAnsi="宋体" w:eastAsia="宋体" w:cs="宋体"/>
          <w:b/>
          <w:bCs/>
          <w:spacing w:val="0"/>
          <w:sz w:val="36"/>
          <w:szCs w:val="36"/>
        </w:rPr>
        <w:t>详细报价书</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b/>
          <w:bCs/>
          <w:spacing w:val="0"/>
          <w:sz w:val="24"/>
          <w:szCs w:val="24"/>
        </w:rPr>
        <w:t>说明：</w:t>
      </w:r>
    </w:p>
    <w:p>
      <w:pPr>
        <w:pStyle w:val="3"/>
        <w:keepNext w:val="0"/>
        <w:keepLines w:val="0"/>
        <w:widowControl/>
        <w:suppressLineNumbers w:val="0"/>
        <w:spacing w:before="75" w:beforeAutospacing="0" w:after="75" w:afterAutospacing="0" w:line="465" w:lineRule="atLeast"/>
        <w:ind w:left="0" w:right="0" w:firstLine="480"/>
      </w:pPr>
      <w:r>
        <w:rPr>
          <w:rFonts w:hint="eastAsia" w:ascii="宋体" w:hAnsi="宋体" w:eastAsia="宋体" w:cs="宋体"/>
          <w:spacing w:val="0"/>
          <w:sz w:val="24"/>
          <w:szCs w:val="24"/>
        </w:rPr>
        <w:t>1.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3"/>
        <w:keepNext w:val="0"/>
        <w:keepLines w:val="0"/>
        <w:widowControl/>
        <w:suppressLineNumbers w:val="0"/>
        <w:spacing w:before="75" w:beforeAutospacing="0" w:after="75" w:afterAutospacing="0" w:line="495" w:lineRule="atLeast"/>
        <w:ind w:left="0" w:right="0" w:firstLine="480"/>
      </w:pPr>
      <w:r>
        <w:rPr>
          <w:rFonts w:hint="eastAsia" w:ascii="宋体" w:hAnsi="宋体" w:eastAsia="宋体" w:cs="宋体"/>
          <w:spacing w:val="0"/>
          <w:sz w:val="24"/>
          <w:szCs w:val="24"/>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3"/>
        <w:keepNext w:val="0"/>
        <w:keepLines w:val="0"/>
        <w:widowControl/>
        <w:suppressLineNumbers w:val="0"/>
        <w:spacing w:before="75" w:beforeAutospacing="0" w:after="75" w:afterAutospacing="0" w:line="495" w:lineRule="atLeast"/>
        <w:ind w:left="0" w:right="0" w:firstLine="480"/>
        <w:jc w:val="both"/>
      </w:pPr>
      <w:r>
        <w:rPr>
          <w:rFonts w:hint="eastAsia" w:ascii="宋体" w:hAnsi="宋体" w:eastAsia="宋体" w:cs="宋体"/>
          <w:spacing w:val="0"/>
          <w:sz w:val="24"/>
          <w:szCs w:val="24"/>
        </w:rPr>
        <w:t>3.对于不能详细列明采购标的的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         </w:t>
      </w:r>
      <w:r>
        <w:rPr>
          <w:rStyle w:val="6"/>
          <w:rFonts w:hint="eastAsia" w:ascii="宋体" w:hAnsi="宋体" w:eastAsia="宋体" w:cs="宋体"/>
          <w:b/>
          <w:bCs/>
          <w:spacing w:val="0"/>
          <w:sz w:val="24"/>
          <w:szCs w:val="24"/>
        </w:rPr>
        <w:t>资格证明文件</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附件3-1       </w:t>
      </w:r>
      <w:r>
        <w:rPr>
          <w:rStyle w:val="6"/>
          <w:rFonts w:hint="eastAsia" w:ascii="宋体" w:hAnsi="宋体" w:eastAsia="宋体" w:cs="宋体"/>
          <w:b/>
          <w:bCs/>
          <w:spacing w:val="0"/>
          <w:sz w:val="24"/>
          <w:szCs w:val="24"/>
        </w:rPr>
        <w:t>参加竞争性谈判的声明函</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1、关于贵方______年______月______日      项目（项目编号:       ）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540" w:right="0" w:firstLine="0"/>
      </w:pPr>
      <w:r>
        <w:rPr>
          <w:rFonts w:hint="eastAsia" w:ascii="宋体" w:hAnsi="宋体" w:eastAsia="宋体" w:cs="宋体"/>
          <w:spacing w:val="0"/>
          <w:sz w:val="24"/>
          <w:szCs w:val="24"/>
        </w:rPr>
        <w:t>2、供应商的基本概况：</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2.1供应商单位名称：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2.2注册地址：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2.3单位负责人姓名：    性别：   年龄：  职务：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备注：“单位负责人”指单位法定代表人（供应商为法人的）或法律、法规规定代表单位行使职权的主要负责人（供应商为其他组织的）。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附件3-2        </w:t>
      </w:r>
      <w:r>
        <w:rPr>
          <w:rStyle w:val="6"/>
          <w:rFonts w:hint="eastAsia" w:ascii="宋体" w:hAnsi="宋体" w:eastAsia="宋体" w:cs="宋体"/>
          <w:b/>
          <w:bCs/>
          <w:spacing w:val="0"/>
          <w:sz w:val="24"/>
          <w:szCs w:val="24"/>
        </w:rPr>
        <w:t>供应商的资格声明</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line="375" w:lineRule="atLeast"/>
        <w:ind w:left="0" w:right="0" w:firstLine="0"/>
        <w:jc w:val="both"/>
      </w:pPr>
      <w:r>
        <w:rPr>
          <w:rStyle w:val="6"/>
          <w:rFonts w:hint="eastAsia" w:ascii="宋体" w:hAnsi="宋体" w:eastAsia="宋体" w:cs="宋体"/>
          <w:b/>
          <w:bCs/>
          <w:spacing w:val="0"/>
          <w:sz w:val="24"/>
          <w:szCs w:val="24"/>
        </w:rPr>
        <w:t>    1、</w:t>
      </w:r>
      <w:r>
        <w:rPr>
          <w:rFonts w:hint="eastAsia" w:ascii="宋体" w:hAnsi="宋体" w:eastAsia="宋体" w:cs="宋体"/>
          <w:spacing w:val="0"/>
          <w:sz w:val="24"/>
          <w:szCs w:val="24"/>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564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564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Style w:val="6"/>
                <w:rFonts w:hint="eastAsia" w:ascii="宋体" w:hAnsi="宋体" w:eastAsia="宋体" w:cs="宋体"/>
                <w:b/>
                <w:bCs/>
                <w:spacing w:val="0"/>
                <w:sz w:val="24"/>
                <w:szCs w:val="24"/>
              </w:rPr>
              <w:t>《中华人民共和国政府采购法》第二十二条对供应商的要求</w:t>
            </w:r>
          </w:p>
        </w:tc>
        <w:tc>
          <w:tcPr>
            <w:tcW w:w="288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Style w:val="6"/>
                <w:rFonts w:hint="eastAsia" w:ascii="宋体" w:hAnsi="宋体" w:eastAsia="宋体" w:cs="宋体"/>
                <w:b/>
                <w:bCs/>
                <w:spacing w:val="0"/>
                <w:sz w:val="24"/>
                <w:szCs w:val="24"/>
              </w:rPr>
              <w:t>供应商对是否符合要求做如实声明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564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（1）具有独立承担民事责任的能力</w:t>
            </w:r>
          </w:p>
        </w:tc>
        <w:tc>
          <w:tcPr>
            <w:tcW w:w="288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564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（2）具有良好的商业信誉和健全的财务会计制度</w:t>
            </w:r>
          </w:p>
        </w:tc>
        <w:tc>
          <w:tcPr>
            <w:tcW w:w="288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564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（3）具有履行合同所必需的设备和专业技术能力</w:t>
            </w:r>
          </w:p>
        </w:tc>
        <w:tc>
          <w:tcPr>
            <w:tcW w:w="288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564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（4）有依法缴纳税收和社会保障资金的良好记录</w:t>
            </w:r>
          </w:p>
        </w:tc>
        <w:tc>
          <w:tcPr>
            <w:tcW w:w="288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564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（5）参加政府采购活动前三年内，在经营活动中没有重大违法记录</w:t>
            </w:r>
          </w:p>
        </w:tc>
        <w:tc>
          <w:tcPr>
            <w:tcW w:w="288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564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（6）法律、行政法规规定的其他条件。</w:t>
            </w:r>
          </w:p>
        </w:tc>
        <w:tc>
          <w:tcPr>
            <w:tcW w:w="288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564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Style w:val="6"/>
                <w:rFonts w:hint="eastAsia" w:ascii="宋体" w:hAnsi="宋体" w:eastAsia="宋体" w:cs="宋体"/>
                <w:b/>
                <w:bCs/>
                <w:spacing w:val="0"/>
                <w:sz w:val="24"/>
                <w:szCs w:val="24"/>
              </w:rPr>
              <w:t>谈判文件对合格供应商的一般规定</w:t>
            </w:r>
          </w:p>
        </w:tc>
        <w:tc>
          <w:tcPr>
            <w:tcW w:w="288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Style w:val="6"/>
                <w:rFonts w:hint="eastAsia" w:ascii="宋体" w:hAnsi="宋体" w:eastAsia="宋体" w:cs="宋体"/>
                <w:b/>
                <w:bCs/>
                <w:spacing w:val="0"/>
                <w:sz w:val="24"/>
                <w:szCs w:val="24"/>
              </w:rPr>
              <w:t>供应商对是否违反一般规定做如实声明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564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供应商应当遵守中国的有关法律、法规和规章的规定，参加政府采购活动时已经自觉检查并按照政府采购相关法律规定，主动回避相应利害关系。</w:t>
            </w:r>
          </w:p>
        </w:tc>
        <w:tc>
          <w:tcPr>
            <w:tcW w:w="288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64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为采购项目提供整体设计、规范编制或项目管理、监理、检测等服务的供应商，不得再参加该采购项目除整体设计、规范编制和项目管理、监理、检测等服务之外的其他采购活动。</w:t>
            </w:r>
          </w:p>
        </w:tc>
        <w:tc>
          <w:tcPr>
            <w:tcW w:w="288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64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列入失信被执行人、重大税收违法案件当事人名单、政府采购严重违法失信行为记录名单的供应商，不得参加政府采购活动。</w:t>
            </w:r>
          </w:p>
        </w:tc>
        <w:tc>
          <w:tcPr>
            <w:tcW w:w="2880" w:type="dxa"/>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line="375" w:lineRule="atLeast"/>
        <w:ind w:left="0" w:right="0" w:firstLine="480"/>
        <w:jc w:val="both"/>
      </w:pPr>
      <w:r>
        <w:rPr>
          <w:rFonts w:hint="eastAsia" w:ascii="宋体" w:hAnsi="宋体" w:eastAsia="宋体" w:cs="宋体"/>
          <w:spacing w:val="0"/>
          <w:sz w:val="24"/>
          <w:szCs w:val="24"/>
        </w:rPr>
        <w:t>2、我方对上述声明的真实性、合法性、准确性、有效性负责，并愿意根据谈判文件和谈判过程中贵方要求提供全部现有资料、数据、文件等予以证实。</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备注：对于接受联合体形式的谈判且供应商是联合体的，则联合体各成员都应当提交本资格证明文件。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附件3-3         </w:t>
      </w:r>
      <w:r>
        <w:rPr>
          <w:rStyle w:val="6"/>
          <w:rFonts w:hint="eastAsia" w:ascii="宋体" w:hAnsi="宋体" w:eastAsia="宋体" w:cs="宋体"/>
          <w:b/>
          <w:bCs/>
          <w:spacing w:val="0"/>
          <w:sz w:val="24"/>
          <w:szCs w:val="24"/>
        </w:rPr>
        <w:t>单位负责人授权书</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pacing w:val="0"/>
          <w:sz w:val="24"/>
          <w:szCs w:val="24"/>
        </w:rPr>
        <w:t>我方的单位负责人（填写“单位负责人全名”）授权（填写“供应商代表全名”）为我方的供应商代表，代表我方参加  （填写“项目名称”）   项目（项目编号：         ）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供应商代表无转委权。特此授权。</w:t>
      </w:r>
    </w:p>
    <w:p>
      <w:pPr>
        <w:pStyle w:val="3"/>
        <w:keepNext w:val="0"/>
        <w:keepLines w:val="0"/>
        <w:widowControl/>
        <w:suppressLineNumbers w:val="0"/>
        <w:spacing w:before="75" w:beforeAutospacing="0" w:after="75" w:afterAutospacing="0" w:line="360" w:lineRule="atLeast"/>
        <w:ind w:left="0" w:right="0" w:firstLine="0"/>
        <w:jc w:val="center"/>
      </w:pPr>
      <w:r>
        <w:rPr>
          <w:rFonts w:hint="eastAsia" w:ascii="宋体" w:hAnsi="宋体" w:eastAsia="宋体" w:cs="宋体"/>
          <w:spacing w:val="0"/>
          <w:sz w:val="24"/>
          <w:szCs w:val="24"/>
        </w:rPr>
        <w:t>（以下无正文）</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单位负责人：         身份证号：            手机：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供应商代表：         身份证号：           手机：</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授权方</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供应商：（全称并加盖单位公章）</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单位负责人签字或盖章：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接受授权方</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供应商代表签字：</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签署日期：    年   月   日</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0"/>
        <w:jc w:val="right"/>
      </w:pP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附：单位负责人、供应商代表的身份证正反面复印件</w:t>
      </w:r>
    </w:p>
    <w:tbl>
      <w:tblPr>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645" w:hRule="atLeast"/>
        </w:trPr>
        <w:tc>
          <w:tcPr>
            <w:tcW w:w="856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05" w:lineRule="atLeast"/>
              <w:ind w:left="0" w:right="0"/>
              <w:jc w:val="center"/>
            </w:pPr>
            <w:r>
              <w:rPr>
                <w:rStyle w:val="6"/>
                <w:rFonts w:hint="eastAsia" w:ascii="宋体" w:hAnsi="宋体" w:eastAsia="宋体" w:cs="宋体"/>
                <w:b/>
                <w:bCs/>
                <w:spacing w:val="0"/>
                <w:sz w:val="24"/>
                <w:szCs w:val="24"/>
              </w:rPr>
              <w:t> </w:t>
            </w:r>
          </w:p>
          <w:p>
            <w:pPr>
              <w:pStyle w:val="3"/>
              <w:keepNext w:val="0"/>
              <w:keepLines w:val="0"/>
              <w:widowControl/>
              <w:suppressLineNumbers w:val="0"/>
              <w:spacing w:before="0" w:beforeAutospacing="0" w:after="0" w:afterAutospacing="0" w:line="405" w:lineRule="atLeast"/>
              <w:ind w:left="0" w:right="0"/>
              <w:jc w:val="center"/>
            </w:pPr>
            <w:r>
              <w:rPr>
                <w:rStyle w:val="6"/>
                <w:rFonts w:hint="eastAsia" w:ascii="宋体" w:hAnsi="宋体" w:eastAsia="宋体" w:cs="宋体"/>
                <w:b/>
                <w:bCs/>
                <w:spacing w:val="0"/>
                <w:sz w:val="24"/>
                <w:szCs w:val="24"/>
              </w:rPr>
              <w:t>要求：真实、有效、清晰</w:t>
            </w:r>
          </w:p>
          <w:p>
            <w:pPr>
              <w:pStyle w:val="3"/>
              <w:keepNext w:val="0"/>
              <w:keepLines w:val="0"/>
              <w:widowControl/>
              <w:suppressLineNumbers w:val="0"/>
              <w:spacing w:before="0" w:beforeAutospacing="0" w:after="0" w:afterAutospacing="0" w:line="405" w:lineRule="atLeast"/>
              <w:ind w:left="0" w:right="0"/>
              <w:jc w:val="center"/>
            </w:pPr>
            <w:r>
              <w:rPr>
                <w:rStyle w:val="6"/>
                <w:rFonts w:hint="eastAsia" w:ascii="宋体" w:hAnsi="宋体" w:eastAsia="宋体" w:cs="宋体"/>
                <w:b/>
                <w:bCs/>
                <w:spacing w:val="0"/>
                <w:sz w:val="24"/>
                <w:szCs w:val="24"/>
              </w:rPr>
              <w:t> </w:t>
            </w:r>
          </w:p>
        </w:tc>
      </w:tr>
    </w:tbl>
    <w:p>
      <w:pPr>
        <w:pStyle w:val="3"/>
        <w:keepNext w:val="0"/>
        <w:keepLines w:val="0"/>
        <w:widowControl/>
        <w:suppressLineNumbers w:val="0"/>
        <w:spacing w:before="75" w:beforeAutospacing="0" w:after="75" w:afterAutospacing="0" w:line="285" w:lineRule="atLeast"/>
        <w:ind w:left="0" w:right="0" w:firstLine="0"/>
        <w:jc w:val="both"/>
      </w:pPr>
      <w:r>
        <w:rPr>
          <w:rFonts w:hint="eastAsia" w:ascii="宋体" w:hAnsi="宋体" w:eastAsia="宋体" w:cs="宋体"/>
          <w:spacing w:val="0"/>
          <w:sz w:val="21"/>
          <w:szCs w:val="21"/>
        </w:rPr>
        <w:t>★注意：</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1、企业（银行、保险、石油石化、电力、电信等行业除外）、事业单位和社会团体法人的“单位负责人”指</w:t>
      </w:r>
      <w:r>
        <w:rPr>
          <w:rStyle w:val="6"/>
          <w:rFonts w:hint="eastAsia" w:ascii="宋体" w:hAnsi="宋体" w:eastAsia="宋体" w:cs="宋体"/>
          <w:b/>
          <w:bCs/>
          <w:spacing w:val="0"/>
          <w:sz w:val="21"/>
          <w:szCs w:val="21"/>
        </w:rPr>
        <w:t>法定代表人</w:t>
      </w:r>
      <w:r>
        <w:rPr>
          <w:rFonts w:hint="eastAsia" w:ascii="宋体" w:hAnsi="宋体" w:eastAsia="宋体" w:cs="宋体"/>
          <w:spacing w:val="0"/>
          <w:sz w:val="21"/>
          <w:szCs w:val="21"/>
        </w:rPr>
        <w:t>，即与实际提交的“营业执照等证明文件”载明的一致。</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2、银行、保险、石油石化、电力、电信等行业：以法人身份参加谈判的，“单位负责人”指</w:t>
      </w:r>
      <w:r>
        <w:rPr>
          <w:rStyle w:val="6"/>
          <w:rFonts w:hint="eastAsia" w:ascii="宋体" w:hAnsi="宋体" w:eastAsia="宋体" w:cs="宋体"/>
          <w:b/>
          <w:bCs/>
          <w:spacing w:val="0"/>
          <w:sz w:val="21"/>
          <w:szCs w:val="21"/>
        </w:rPr>
        <w:t>法定代表人</w:t>
      </w:r>
      <w:r>
        <w:rPr>
          <w:rFonts w:hint="eastAsia" w:ascii="宋体" w:hAnsi="宋体" w:eastAsia="宋体" w:cs="宋体"/>
          <w:spacing w:val="0"/>
          <w:sz w:val="21"/>
          <w:szCs w:val="21"/>
        </w:rPr>
        <w:t>，即与实际提交的“营业执照等证明文件”载明的一致；以非法人身份参加谈判的，“单位负责人”指</w:t>
      </w:r>
      <w:r>
        <w:rPr>
          <w:rStyle w:val="6"/>
          <w:rFonts w:hint="eastAsia" w:ascii="宋体" w:hAnsi="宋体" w:eastAsia="宋体" w:cs="宋体"/>
          <w:b/>
          <w:bCs/>
          <w:spacing w:val="0"/>
          <w:sz w:val="21"/>
          <w:szCs w:val="21"/>
        </w:rPr>
        <w:t>代表单位行使职权的主要负责人</w:t>
      </w:r>
      <w:r>
        <w:rPr>
          <w:rFonts w:hint="eastAsia" w:ascii="宋体" w:hAnsi="宋体" w:eastAsia="宋体" w:cs="宋体"/>
          <w:spacing w:val="0"/>
          <w:sz w:val="21"/>
          <w:szCs w:val="21"/>
        </w:rPr>
        <w:t>，即与实际提交的“营业执照等证明文件”载明的一致。</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3"/>
        <w:keepNext w:val="0"/>
        <w:keepLines w:val="0"/>
        <w:widowControl/>
        <w:suppressLineNumbers w:val="0"/>
        <w:spacing w:before="75" w:beforeAutospacing="0" w:after="75" w:afterAutospacing="0" w:line="285" w:lineRule="atLeast"/>
        <w:ind w:left="0" w:right="0" w:firstLine="0"/>
        <w:jc w:val="both"/>
      </w:pPr>
      <w:r>
        <w:rPr>
          <w:rFonts w:hint="eastAsia" w:ascii="宋体" w:hAnsi="宋体" w:eastAsia="宋体" w:cs="宋体"/>
          <w:spacing w:val="0"/>
          <w:sz w:val="21"/>
          <w:szCs w:val="21"/>
        </w:rPr>
        <w:t>4、对于接受联合体形式的谈判且供应商是联合体的，则只需要联合体的牵头方提交本授权书，在纸质响应文件正本中的本授权书应为原件。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附件3-4 </w:t>
      </w:r>
      <w:r>
        <w:rPr>
          <w:rStyle w:val="6"/>
          <w:rFonts w:hint="eastAsia" w:ascii="宋体" w:hAnsi="宋体" w:eastAsia="宋体" w:cs="宋体"/>
          <w:b/>
          <w:bCs/>
          <w:spacing w:val="0"/>
          <w:sz w:val="24"/>
          <w:szCs w:val="24"/>
        </w:rPr>
        <w:t>       营业执照等证明文件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）供应商为法人（包括企业、事业单位和社会团体）的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现附上由（填写“签发机关全称”）签发的我方统一社会信用代码（请填写法人的具体证照名称）复印件，该证明材料真实有效，否则我方负全部责任。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）供应商为非法人（包括其他组织、自然人）的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□现附上由（填写“签发机关全称”）签发的我方（请填写非自然人的非法人的具体证照名称）复印件，该证明材料真实有效，否则我方负全部责任。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□现附上由（填写“签发机关全称”）签发的我方（请填写自然人的身份证件名称）复印件，该证明材料真实有效，否则我方负全部责任。</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★注意：</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1、请供应商根据实际情况填写，在相应的（）中打“√”并选择相应的“□”（若有）后，再按照本格式的要求提供相应证明材料的复印件。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3、供应商提供的相应证明材料复印件均应符合：内容完整、清晰、整洁，并由供应商加盖其单位公章。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附件3-5             </w:t>
      </w:r>
      <w:r>
        <w:rPr>
          <w:rStyle w:val="6"/>
          <w:rFonts w:hint="eastAsia" w:ascii="宋体" w:hAnsi="宋体" w:eastAsia="宋体" w:cs="宋体"/>
          <w:b/>
          <w:bCs/>
          <w:spacing w:val="0"/>
          <w:sz w:val="24"/>
          <w:szCs w:val="24"/>
        </w:rPr>
        <w:t>财务状况报告</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 ）供应商提供财务报告的</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企业适用：现附上我方（填写“具体的年度、或半年度、或季度”）财务报告复印件，包括资产负债表、利润表、现金流量表、所有者权益变动表及其附注（若有），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事业单位适用：现附上我方（填写“具体的年度、或半年度、或季度”）财务报告复印件，包括资产负债表、收入支出表或收入费用表、财政补助收入支出表（若有），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□社会团体适用：现附上我方（填写“具体的年度、或半年度、或季度”）财务报告复印件，包括资产负债表、业务活动表、现金流量表，上述证明材料真实有效，否则我方负全部责任。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 ）供应商提供资信证明的</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□非自然人适用：现附上我方银行：（填写“开户银行全称”）出具的资信证明复印件，上述证明材料真实有效，否则我方负全部责任。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□自然人适用：现附上我方银行：（填写自然人的“个人账户的开户银行全称”）出具的资信证明复印件，上述证明材料真实有效，否则我方负全部责任。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 ）供应商提供投标担保函的</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现附上由财政部门认可的政府采购专业担保机构：（填写“担保机构全称”）出具的投标担保函复印件，上述证明材料真实有效，否则我方负全部责任。</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★注意事项：</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2、供应商提供的财务报告复印件（成立年限按照首次响应文件递交截止时间推算）应符合下列规定：</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2.1成立年限满1年及以上的供应商，提供经审计的上一年度的年度财务报告。</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2.2成立年限满半年但不足1年的供应商，提供该半年度中任一季度的季度财务报告或该半年度的半年度财务报告。</w:t>
      </w:r>
    </w:p>
    <w:p>
      <w:pPr>
        <w:pStyle w:val="3"/>
        <w:keepNext w:val="0"/>
        <w:keepLines w:val="0"/>
        <w:widowControl/>
        <w:suppressLineNumbers w:val="0"/>
        <w:spacing w:before="75" w:beforeAutospacing="0" w:after="75" w:afterAutospacing="0"/>
        <w:ind w:left="0" w:right="0" w:firstLine="420"/>
      </w:pPr>
      <w:r>
        <w:rPr>
          <w:rStyle w:val="6"/>
          <w:rFonts w:hint="eastAsia" w:ascii="宋体" w:hAnsi="宋体" w:eastAsia="宋体" w:cs="宋体"/>
          <w:b/>
          <w:bCs/>
          <w:spacing w:val="0"/>
          <w:sz w:val="21"/>
          <w:szCs w:val="21"/>
        </w:rPr>
        <w:t>※无法按照本格式注意事项第2.1、2.2条规定提供财务报告复印件的供应商，应按照本格式注意事项的要求选择提供资信证明复印件或投标担保函复印件。</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3、“财政部门认可的政府采购专业担保机构”应符合《财政部关于开展政府采购信用担保试点工作方案》（财库[2011]124号）的规定。</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4、供应商提供的相应证明材料复印件均应符合：内容完整、清晰、整洁，并由供应商加盖其单位公章。</w:t>
      </w:r>
    </w:p>
    <w:p>
      <w:pPr>
        <w:pStyle w:val="3"/>
        <w:keepNext w:val="0"/>
        <w:keepLines w:val="0"/>
        <w:widowControl/>
        <w:suppressLineNumbers w:val="0"/>
        <w:spacing w:before="75" w:beforeAutospacing="0" w:after="75" w:afterAutospacing="0" w:line="315" w:lineRule="atLeast"/>
        <w:ind w:left="0" w:right="0" w:firstLine="420"/>
      </w:pPr>
      <w:r>
        <w:rPr>
          <w:rFonts w:hint="eastAsia" w:ascii="宋体" w:hAnsi="宋体" w:eastAsia="宋体" w:cs="宋体"/>
          <w:spacing w:val="0"/>
          <w:sz w:val="21"/>
          <w:szCs w:val="21"/>
        </w:rPr>
        <w:t>5、对于接受联合体形式的谈判且供应商是联合体的，则联合体各成员都应当提交本资格证明文件。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jc w:val="both"/>
      </w:pPr>
      <w:r>
        <w:rPr>
          <w:rStyle w:val="6"/>
          <w:rFonts w:hint="eastAsia" w:ascii="宋体" w:hAnsi="宋体" w:eastAsia="宋体" w:cs="宋体"/>
          <w:b/>
          <w:bCs/>
          <w:spacing w:val="0"/>
          <w:sz w:val="21"/>
          <w:szCs w:val="21"/>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附件3-6          </w:t>
      </w:r>
      <w:r>
        <w:rPr>
          <w:rStyle w:val="6"/>
          <w:rFonts w:hint="eastAsia" w:ascii="宋体" w:hAnsi="宋体" w:eastAsia="宋体" w:cs="宋体"/>
          <w:b/>
          <w:bCs/>
          <w:spacing w:val="0"/>
          <w:sz w:val="24"/>
          <w:szCs w:val="24"/>
        </w:rPr>
        <w:t>依法缴纳税收证明材料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1"/>
          <w:szCs w:val="21"/>
        </w:rPr>
        <w:t>   </w:t>
      </w:r>
    </w:p>
    <w:p>
      <w:pPr>
        <w:pStyle w:val="3"/>
        <w:keepNext w:val="0"/>
        <w:keepLines w:val="0"/>
        <w:widowControl/>
        <w:suppressLineNumbers w:val="0"/>
        <w:spacing w:before="75" w:beforeAutospacing="0" w:after="75" w:afterAutospacing="0"/>
        <w:ind w:left="0" w:right="0" w:firstLine="420"/>
      </w:pPr>
      <w:r>
        <w:rPr>
          <w:rStyle w:val="6"/>
          <w:rFonts w:hint="eastAsia" w:ascii="宋体" w:hAnsi="宋体" w:eastAsia="宋体" w:cs="宋体"/>
          <w:b/>
          <w:bCs/>
          <w:spacing w:val="0"/>
          <w:sz w:val="24"/>
          <w:szCs w:val="24"/>
        </w:rPr>
        <w:t>1、依法缴纳税收的供应商</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）法人（包括企业、事业单位和社会团体）的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现附上自    年   月   日至    年   月   日期间我方缴纳的（按照供应商实际缴纳的税种名称填写，如：增值税、所得税等）税收凭据复印件，上述证明材料真实有效，否则我方负全部责任。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）非法人（包括其他组织、自然人）的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现附上自    年   月   日至    年   月   日期间我方缴纳的（按照供应商实际缴纳的税种名称填写）税收凭据复印件，上述证明材料真实有效，否则我方负全部责任。</w:t>
      </w:r>
    </w:p>
    <w:p>
      <w:pPr>
        <w:pStyle w:val="3"/>
        <w:keepNext w:val="0"/>
        <w:keepLines w:val="0"/>
        <w:widowControl/>
        <w:suppressLineNumbers w:val="0"/>
        <w:spacing w:before="75" w:beforeAutospacing="0" w:after="75" w:afterAutospacing="0"/>
        <w:ind w:left="0" w:right="0" w:firstLine="420"/>
      </w:pPr>
      <w:r>
        <w:rPr>
          <w:rStyle w:val="6"/>
          <w:rFonts w:hint="eastAsia" w:ascii="宋体" w:hAnsi="宋体" w:eastAsia="宋体" w:cs="宋体"/>
          <w:b/>
          <w:bCs/>
          <w:spacing w:val="0"/>
          <w:sz w:val="24"/>
          <w:szCs w:val="24"/>
        </w:rPr>
        <w:t>2、依法免税的供应商</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）现附上我方依法免税证明材料复印件，上述证明材料真实有效，否则我方负全部责任。</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★注意：</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1、请供应商根据实际情况填写，在相应的（）中打“√”，并按照本格式的要求提供相应证明材料的复印件。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2、供应商提供的税收凭据复印件应符合下列规定：</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2.1首次响应文件递交截止时间前（不含截止时间的当月）已依法缴纳税收的供应商，提供首次响应文件递交截止时间前六个月（不含截止时间的当月）中任一月份的税收凭据复印件。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2.2首次响应文件递交截止时间的当月成立且已依法缴纳税收的供应商，提供截止时间当月的税收凭据复印件。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2.3首次响应文件递交截止时间的当月成立但因税务机关原因而尚未依法缴纳税收的供应商，提供依法缴纳税收承诺书原件（格式自拟），该承诺书视同税收凭据。</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3、供应商提供的相应证明材料复印件均应符合：内容完整、清晰、整洁，并由供应商加盖其单位公章。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4、</w:t>
      </w:r>
      <w:r>
        <w:rPr>
          <w:rStyle w:val="6"/>
          <w:rFonts w:hint="eastAsia" w:ascii="宋体" w:hAnsi="宋体" w:eastAsia="宋体" w:cs="宋体"/>
          <w:b/>
          <w:bCs/>
          <w:spacing w:val="0"/>
          <w:sz w:val="21"/>
          <w:szCs w:val="21"/>
        </w:rPr>
        <w:t>“依法缴纳税收证明材料”</w:t>
      </w:r>
      <w:r>
        <w:rPr>
          <w:rFonts w:hint="eastAsia" w:ascii="宋体" w:hAnsi="宋体" w:eastAsia="宋体" w:cs="宋体"/>
          <w:spacing w:val="0"/>
          <w:sz w:val="21"/>
          <w:szCs w:val="21"/>
        </w:rPr>
        <w:t>有欠缴记录的，视为</w:t>
      </w:r>
      <w:r>
        <w:rPr>
          <w:rStyle w:val="6"/>
          <w:rFonts w:hint="eastAsia" w:ascii="宋体" w:hAnsi="宋体" w:eastAsia="宋体" w:cs="宋体"/>
          <w:b/>
          <w:bCs/>
          <w:spacing w:val="0"/>
          <w:sz w:val="21"/>
          <w:szCs w:val="21"/>
        </w:rPr>
        <w:t>未依法缴纳税收</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315" w:lineRule="atLeast"/>
        <w:ind w:left="0" w:right="0" w:firstLine="0"/>
      </w:pPr>
      <w:r>
        <w:rPr>
          <w:rFonts w:hint="eastAsia" w:ascii="宋体" w:hAnsi="宋体" w:eastAsia="宋体" w:cs="宋体"/>
          <w:spacing w:val="0"/>
          <w:sz w:val="21"/>
          <w:szCs w:val="21"/>
        </w:rPr>
        <w:t>5、对于接受联合体形式的谈判且供应商是联合体的，则联合体各成员都应当提交本资格证明文件。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附件3-7       </w:t>
      </w:r>
      <w:r>
        <w:rPr>
          <w:rStyle w:val="6"/>
          <w:rFonts w:hint="eastAsia" w:ascii="宋体" w:hAnsi="宋体" w:eastAsia="宋体" w:cs="宋体"/>
          <w:b/>
          <w:bCs/>
          <w:spacing w:val="0"/>
          <w:sz w:val="24"/>
          <w:szCs w:val="24"/>
        </w:rPr>
        <w:t>依法缴纳社会保障资金证明材料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ind w:left="0" w:right="0" w:firstLine="480"/>
      </w:pPr>
      <w:r>
        <w:rPr>
          <w:rStyle w:val="6"/>
          <w:rFonts w:hint="eastAsia" w:ascii="宋体" w:hAnsi="宋体" w:eastAsia="宋体" w:cs="宋体"/>
          <w:b/>
          <w:bCs/>
          <w:spacing w:val="0"/>
          <w:sz w:val="24"/>
          <w:szCs w:val="24"/>
        </w:rPr>
        <w:t>1、依法缴纳社会保障资金的供应商</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）法人（包括企业、事业单位和社会团体）的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现附上自    年   月   日至    年   月   日我方缴纳的社会保险凭据（限：税务机关/社会保障资金管理机关的专用收据或社会保险缴纳清单，或社会保险的银行缴款收讫凭证）复印件，上述证明材料真实有效，否则我方负全部责任。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）非法人（包括其他组织、自然人）的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自    年   月   日至    年   月   日我方缴纳的社会保险凭据（限：税务机关/社会保障资金管理机关的专用收据或社会保险缴纳清单，或社会保险的银行缴款收讫凭证）复印件，上述证明材料真实有效，否则我方负全部责任。</w:t>
      </w:r>
    </w:p>
    <w:p>
      <w:pPr>
        <w:pStyle w:val="3"/>
        <w:keepNext w:val="0"/>
        <w:keepLines w:val="0"/>
        <w:widowControl/>
        <w:suppressLineNumbers w:val="0"/>
        <w:spacing w:before="75" w:beforeAutospacing="0" w:after="75" w:afterAutospacing="0"/>
        <w:ind w:left="0" w:right="0" w:firstLine="480"/>
      </w:pPr>
      <w:r>
        <w:rPr>
          <w:rStyle w:val="6"/>
          <w:rFonts w:hint="eastAsia" w:ascii="宋体" w:hAnsi="宋体" w:eastAsia="宋体" w:cs="宋体"/>
          <w:b/>
          <w:bCs/>
          <w:spacing w:val="0"/>
          <w:sz w:val="24"/>
          <w:szCs w:val="24"/>
        </w:rPr>
        <w:t>2、依法不需要缴纳社会保障资金的供应商</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）现附上我方依法不需要缴纳社会保障资金证明材料复印件，上述证明材料真实有效，否则我方负全部责任。</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★注意：</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1、请供应商根据实际情况填写，在相应的（）中打“√”，并按照本格式的要求提供相应证明材料的复印件。</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2、供应商提供的社会保险凭据复印件应符合下列规定：</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2.1首次响应文件递交截止时间前（不含截止时间的当月）已依法缴纳社会保障资金的投供应商，提供首次响应文件递交截止时间前六个月（不含截止时间的当月）中任一月份的社会保险凭据复印件。</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2.2首次响应文件递交截止时间的当月成立且已依法缴纳社会保障资金的供应商，提供首次响应文件递交截止时间当月的社会保险凭据复印件。</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2.3首次响应文件递交截止时间的当月成立但因税务机关/社会保障资金管理机关原因而尚未依法缴纳社会保障资金的供应商，提供依法缴纳社会保障资金承诺书原件（格式自拟），该承诺书视同社会保险凭据。</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3、供应商提供的相应证明材料复印件均应符合：内容完整、清晰、整洁，并由供应商加盖其单位公章。</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4、</w:t>
      </w:r>
      <w:r>
        <w:rPr>
          <w:rStyle w:val="6"/>
          <w:rFonts w:hint="eastAsia" w:ascii="宋体" w:hAnsi="宋体" w:eastAsia="宋体" w:cs="宋体"/>
          <w:b/>
          <w:bCs/>
          <w:spacing w:val="0"/>
          <w:sz w:val="21"/>
          <w:szCs w:val="21"/>
        </w:rPr>
        <w:t>“依法缴纳社会保障资金证明材料”</w:t>
      </w:r>
      <w:r>
        <w:rPr>
          <w:rFonts w:hint="eastAsia" w:ascii="宋体" w:hAnsi="宋体" w:eastAsia="宋体" w:cs="宋体"/>
          <w:spacing w:val="0"/>
          <w:sz w:val="21"/>
          <w:szCs w:val="21"/>
        </w:rPr>
        <w:t>有欠缴记录的，视为</w:t>
      </w:r>
      <w:r>
        <w:rPr>
          <w:rStyle w:val="6"/>
          <w:rFonts w:hint="eastAsia" w:ascii="宋体" w:hAnsi="宋体" w:eastAsia="宋体" w:cs="宋体"/>
          <w:b/>
          <w:bCs/>
          <w:spacing w:val="0"/>
          <w:sz w:val="21"/>
          <w:szCs w:val="21"/>
        </w:rPr>
        <w:t>未依法缴纳社会保障资金</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285" w:lineRule="atLeast"/>
        <w:ind w:left="0" w:right="0" w:firstLine="0"/>
      </w:pPr>
      <w:r>
        <w:rPr>
          <w:rFonts w:hint="eastAsia" w:ascii="宋体" w:hAnsi="宋体" w:eastAsia="宋体" w:cs="宋体"/>
          <w:spacing w:val="0"/>
          <w:sz w:val="21"/>
          <w:szCs w:val="21"/>
        </w:rPr>
        <w:t>5、对于接受联合体形式的谈判且供应商是联合体的，则联合体各成员都应当提交本资格证明文件。</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28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附件3-8   </w:t>
      </w:r>
      <w:r>
        <w:rPr>
          <w:rStyle w:val="6"/>
          <w:rFonts w:hint="eastAsia" w:ascii="宋体" w:hAnsi="宋体" w:eastAsia="宋体" w:cs="宋体"/>
          <w:b/>
          <w:bCs/>
          <w:spacing w:val="0"/>
          <w:sz w:val="24"/>
          <w:szCs w:val="24"/>
        </w:rPr>
        <w:t>具备履行合同所必需设备和专业技术能力证明材料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声明函</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我方具备履行合同所必需的设备和专业技术能力，并对本声明承诺的真实性负责，否则产生不利后果由我方承担责任。</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特此声明。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w:t>
      </w:r>
      <w:r>
        <w:rPr>
          <w:rStyle w:val="6"/>
          <w:rFonts w:hint="eastAsia" w:ascii="宋体" w:hAnsi="宋体" w:eastAsia="宋体" w:cs="宋体"/>
          <w:b/>
          <w:bCs/>
          <w:spacing w:val="0"/>
          <w:sz w:val="24"/>
          <w:szCs w:val="24"/>
        </w:rPr>
        <w:t>谈判文件“供应商的资格”中特定资格条件如果没有特别规定，则由供应商在响应文件中按上述格式提供其具备履行合同所必需的设备和专业技术能力的声明即可，声明函应加盖供应商单位公章。</w:t>
      </w:r>
    </w:p>
    <w:p>
      <w:pPr>
        <w:pStyle w:val="3"/>
        <w:keepNext w:val="0"/>
        <w:keepLines w:val="0"/>
        <w:widowControl/>
        <w:suppressLineNumbers w:val="0"/>
        <w:spacing w:before="75" w:beforeAutospacing="0" w:after="75" w:afterAutospacing="0" w:line="435" w:lineRule="atLeast"/>
        <w:ind w:left="0" w:right="0" w:firstLine="480"/>
      </w:pPr>
      <w:r>
        <w:rPr>
          <w:rStyle w:val="6"/>
          <w:rFonts w:hint="eastAsia" w:ascii="宋体" w:hAnsi="宋体" w:eastAsia="宋体" w:cs="宋体"/>
          <w:b/>
          <w:bCs/>
          <w:spacing w:val="0"/>
          <w:sz w:val="24"/>
          <w:szCs w:val="24"/>
        </w:rPr>
        <w:t>2.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r>
        <w:rPr>
          <w:rStyle w:val="6"/>
          <w:rFonts w:hint="eastAsia" w:ascii="宋体" w:hAnsi="宋体" w:eastAsia="宋体" w:cs="宋体"/>
          <w:b/>
          <w:bCs/>
          <w:spacing w:val="0"/>
          <w:sz w:val="24"/>
          <w:szCs w:val="24"/>
        </w:rPr>
        <w:t>3.对于接受联合体形式的谈判且供应商是联合体的，则联合体各成员都应当提交本资格证明文件。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附件3-9    </w:t>
      </w:r>
      <w:r>
        <w:rPr>
          <w:rStyle w:val="6"/>
          <w:rFonts w:hint="eastAsia" w:ascii="宋体" w:hAnsi="宋体" w:eastAsia="宋体" w:cs="宋体"/>
          <w:b/>
          <w:bCs/>
          <w:spacing w:val="0"/>
          <w:sz w:val="24"/>
          <w:szCs w:val="24"/>
        </w:rPr>
        <w:t>参加采购活动前三年内在经营活动中</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1935"/>
      </w:pPr>
      <w:r>
        <w:rPr>
          <w:rStyle w:val="6"/>
          <w:rFonts w:hint="eastAsia" w:ascii="宋体" w:hAnsi="宋体" w:eastAsia="宋体" w:cs="宋体"/>
          <w:b/>
          <w:bCs/>
          <w:spacing w:val="0"/>
          <w:sz w:val="24"/>
          <w:szCs w:val="24"/>
        </w:rPr>
        <w:t>没有重大违法记录书面声明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参加采购活动前三年内，我方在经营活动中没有重大违法记录，</w:t>
      </w:r>
      <w:r>
        <w:rPr>
          <w:rFonts w:hint="eastAsia" w:ascii="宋体" w:hAnsi="宋体" w:eastAsia="宋体" w:cs="宋体"/>
          <w:sz w:val="21"/>
          <w:szCs w:val="21"/>
        </w:rPr>
        <w:t>也无行贿犯罪记录</w:t>
      </w:r>
      <w:r>
        <w:rPr>
          <w:rFonts w:hint="eastAsia" w:ascii="宋体" w:hAnsi="宋体" w:eastAsia="宋体" w:cs="宋体"/>
          <w:spacing w:val="0"/>
        </w:rPr>
        <w:t>。</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特此声明。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1、“重大违法记录”指供应商因违法经营受到刑事处罚或责令停产停业、吊销许可证或执照、较大数额罚款等行政处罚。</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2、请供应商根据实际情况进行声明，若声明不真实，视为提供虚假材料。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3、对于接受联合体形式的谈判且供应商是联合体的，则联合体各成员都应当提交本资格证明文件。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附件3-10       </w:t>
      </w:r>
      <w:r>
        <w:rPr>
          <w:rStyle w:val="6"/>
          <w:rFonts w:hint="eastAsia" w:ascii="宋体" w:hAnsi="宋体" w:eastAsia="宋体" w:cs="宋体"/>
          <w:b/>
          <w:bCs/>
          <w:spacing w:val="0"/>
          <w:sz w:val="24"/>
          <w:szCs w:val="24"/>
        </w:rPr>
        <w:t>信用记录查询结果</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现附上截至   年   月   日   时我方通过“信用中国”网站（www.creditchina.gov.cn）获取的我方信用信息查询结果（填写具体份数）份、通过中国政府采购网（www.ccgp.gov.cn）获取的我方信用信息查询结果（填写具体份数）份，上述信用信息查询结果真实有效，否则我方负全部责任。</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1、供应商应</w:t>
      </w:r>
      <w:r>
        <w:rPr>
          <w:rStyle w:val="6"/>
          <w:rFonts w:hint="eastAsia" w:ascii="宋体" w:hAnsi="宋体" w:eastAsia="宋体" w:cs="宋体"/>
          <w:b/>
          <w:bCs/>
          <w:spacing w:val="0"/>
          <w:sz w:val="21"/>
          <w:szCs w:val="21"/>
        </w:rPr>
        <w:t>同时提供</w:t>
      </w:r>
      <w:r>
        <w:rPr>
          <w:rFonts w:hint="eastAsia" w:ascii="宋体" w:hAnsi="宋体" w:eastAsia="宋体" w:cs="宋体"/>
          <w:spacing w:val="0"/>
          <w:sz w:val="21"/>
          <w:szCs w:val="21"/>
        </w:rPr>
        <w:t>在谈判文件要求的首次响应文件递交截止时点前通过上述2个网站获取的信用信息查询结果，信用信息查询结果应为从上述网站获取的查询结果原始页面的打印件或完整截图，</w:t>
      </w:r>
      <w:r>
        <w:rPr>
          <w:rStyle w:val="6"/>
          <w:rFonts w:hint="eastAsia" w:ascii="宋体" w:hAnsi="宋体" w:eastAsia="宋体" w:cs="宋体"/>
          <w:b/>
          <w:bCs/>
          <w:spacing w:val="0"/>
          <w:sz w:val="21"/>
          <w:szCs w:val="21"/>
        </w:rPr>
        <w:t>否则其响应文件将被否决</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2、若本项目接受联合体响应谈判且供应商为联合体，则联合体各成员均应</w:t>
      </w:r>
      <w:r>
        <w:rPr>
          <w:rStyle w:val="6"/>
          <w:rFonts w:hint="eastAsia" w:ascii="宋体" w:hAnsi="宋体" w:eastAsia="宋体" w:cs="宋体"/>
          <w:b/>
          <w:bCs/>
          <w:spacing w:val="0"/>
          <w:sz w:val="21"/>
          <w:szCs w:val="21"/>
        </w:rPr>
        <w:t>同时提供</w:t>
      </w:r>
      <w:r>
        <w:rPr>
          <w:rFonts w:hint="eastAsia" w:ascii="宋体" w:hAnsi="宋体" w:eastAsia="宋体" w:cs="宋体"/>
          <w:spacing w:val="0"/>
          <w:sz w:val="21"/>
          <w:szCs w:val="21"/>
        </w:rPr>
        <w:t>在谈判文件要求的首次响应文件截止时点前通过上述2个网站获取的联合体各方的信用信息查询结果，信用信息查询结果应为从上述网站获取的查询结果原始页面的完整截图或打印件，</w:t>
      </w:r>
      <w:r>
        <w:rPr>
          <w:rStyle w:val="6"/>
          <w:rFonts w:hint="eastAsia" w:ascii="宋体" w:hAnsi="宋体" w:eastAsia="宋体" w:cs="宋体"/>
          <w:b/>
          <w:bCs/>
          <w:spacing w:val="0"/>
          <w:sz w:val="21"/>
          <w:szCs w:val="21"/>
        </w:rPr>
        <w:t>否则其响应文件将被否决</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3、联合体成员存在不良信用记录的，视同联合体存在不良信用记录，</w:t>
      </w:r>
      <w:r>
        <w:rPr>
          <w:rStyle w:val="6"/>
          <w:rFonts w:hint="eastAsia" w:ascii="宋体" w:hAnsi="宋体" w:eastAsia="宋体" w:cs="宋体"/>
          <w:b/>
          <w:bCs/>
          <w:spacing w:val="0"/>
          <w:sz w:val="21"/>
          <w:szCs w:val="21"/>
        </w:rPr>
        <w:t>其响应文件将被否决</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1"/>
          <w:szCs w:val="21"/>
        </w:rPr>
        <w:t>※除上述规定外，信用记录的其他有关规定（包括但不限于：信用信息的查询渠道及截止时点、查询记录和证据留存的具体方式、使用规则等内容）详见谈判文件第一章。</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b/>
          <w:bCs/>
          <w:spacing w:val="0"/>
          <w:sz w:val="24"/>
          <w:szCs w:val="24"/>
        </w:rPr>
        <w:br w:type="textWrapping"/>
      </w:r>
      <w:r>
        <w:rPr>
          <w:rFonts w:hint="eastAsia" w:ascii="宋体" w:hAnsi="宋体" w:eastAsia="宋体" w:cs="宋体"/>
          <w:spacing w:val="0"/>
          <w:sz w:val="24"/>
          <w:szCs w:val="24"/>
        </w:rPr>
        <w:t>附件3-11   </w:t>
      </w:r>
      <w:r>
        <w:rPr>
          <w:rStyle w:val="6"/>
          <w:rFonts w:hint="eastAsia" w:ascii="宋体" w:hAnsi="宋体" w:eastAsia="宋体" w:cs="宋体"/>
          <w:b/>
          <w:bCs/>
          <w:spacing w:val="0"/>
          <w:sz w:val="24"/>
          <w:szCs w:val="24"/>
        </w:rPr>
        <w:t>检察机关行贿犯罪档案查询结果告知函（如果需要）</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1.检察机关行贿犯罪档案查询结果告知函（以下简称：“告知函”）由供应商向住所地或业务发生地检察院申请查询，具体以检察院出具的为准。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采购人在谈判文件中约定是否需要提供“告知函”，如果需要提供“告知函”，则在谈判文件“供应商的资格”中特定资格条件中进行约定。如果特定资格条件中未明确约定，视同为本项目不需要提供“告知函”。</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★谈判文件有要求提交“告知函”时注意：</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1、供应商未提供行贿犯罪档案查询结果或查询结果有行贿犯罪记录的，</w:t>
      </w:r>
      <w:r>
        <w:rPr>
          <w:rStyle w:val="6"/>
          <w:rFonts w:hint="eastAsia" w:ascii="宋体" w:hAnsi="宋体" w:eastAsia="宋体" w:cs="宋体"/>
          <w:b/>
          <w:bCs/>
          <w:spacing w:val="0"/>
          <w:sz w:val="24"/>
          <w:szCs w:val="24"/>
        </w:rPr>
        <w:t>则供应商的响应文件将被否决</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2、告知函应在有效期内，</w:t>
      </w:r>
      <w:r>
        <w:rPr>
          <w:rStyle w:val="6"/>
          <w:rFonts w:hint="eastAsia" w:ascii="宋体" w:hAnsi="宋体" w:eastAsia="宋体" w:cs="宋体"/>
          <w:b/>
          <w:bCs/>
          <w:spacing w:val="0"/>
          <w:sz w:val="24"/>
          <w:szCs w:val="24"/>
        </w:rPr>
        <w:t>否则其响应文件将被否决</w:t>
      </w:r>
      <w:r>
        <w:rPr>
          <w:rFonts w:hint="eastAsia" w:ascii="宋体" w:hAnsi="宋体" w:eastAsia="宋体" w:cs="宋体"/>
          <w:spacing w:val="0"/>
          <w:sz w:val="24"/>
          <w:szCs w:val="24"/>
        </w:rPr>
        <w:t>。有效期内的告知函复印件，无论内容中是否注明“复印件无效”，均视同有效。</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3、若从检察机关指定网站下载打印或截图告知函，则告知函应为从前述指定网站获取的查询结果原始页面的打印件或完整截图，</w:t>
      </w:r>
      <w:r>
        <w:rPr>
          <w:rStyle w:val="6"/>
          <w:rFonts w:hint="eastAsia" w:ascii="宋体" w:hAnsi="宋体" w:eastAsia="宋体" w:cs="宋体"/>
          <w:b/>
          <w:bCs/>
          <w:spacing w:val="0"/>
          <w:sz w:val="24"/>
          <w:szCs w:val="24"/>
        </w:rPr>
        <w:t>否则其响应文件将被否决</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4、若告知函未注明“复印件无效”，供应商可提供原件或复印件。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5、对于接受联合体形式的谈判且供应商是联合体的，则联合体各成员都应当提交本资格证明文件</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6、无法获取有效期内检察机关行贿犯罪档案查询结果告知函的，应在《参加采购活动前三年内在经营活动中没有重大违法记录书面声明》中对近三年无行贿犯罪记录进行声明。</w:t>
      </w: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附件3-12       </w:t>
      </w:r>
      <w:r>
        <w:rPr>
          <w:rStyle w:val="6"/>
          <w:rFonts w:hint="eastAsia" w:ascii="宋体" w:hAnsi="宋体" w:eastAsia="宋体" w:cs="宋体"/>
          <w:b/>
          <w:bCs/>
          <w:spacing w:val="0"/>
          <w:sz w:val="24"/>
          <w:szCs w:val="24"/>
        </w:rPr>
        <w:t>  联合体协议</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b/>
          <w:bCs/>
          <w:spacing w:val="0"/>
          <w:sz w:val="24"/>
          <w:szCs w:val="24"/>
        </w:rPr>
        <w:t>（接受联合体的项目使用）</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兹有（填写“联合体中各方的全称”，各方的全称之间请用“、”分割）自愿组成联合体，共同参加（填写 “项目名称” ） 项目（项目编号：       ）的响应谈判。现就联合体参加本项目响应谈判的有关事宜达成下列协议：</w:t>
      </w:r>
    </w:p>
    <w:p>
      <w:pPr>
        <w:pStyle w:val="3"/>
        <w:keepNext w:val="0"/>
        <w:keepLines w:val="0"/>
        <w:widowControl/>
        <w:suppressLineNumbers w:val="0"/>
        <w:spacing w:before="75" w:beforeAutospacing="0" w:after="75" w:afterAutospacing="0" w:line="435" w:lineRule="atLeast"/>
        <w:ind w:left="0" w:right="0" w:firstLine="480"/>
        <w:jc w:val="left"/>
      </w:pPr>
      <w:r>
        <w:rPr>
          <w:rFonts w:hint="eastAsia" w:ascii="宋体" w:hAnsi="宋体" w:eastAsia="宋体" w:cs="宋体"/>
          <w:spacing w:val="0"/>
          <w:sz w:val="24"/>
          <w:szCs w:val="24"/>
        </w:rPr>
        <w:t>一、联合体各方应承担的工作和义务具体如下：</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1、联合体牵头方单位名称：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（填写“工作及义务的具体内容”）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2、联合体成员方单位名称：                                 </w:t>
      </w:r>
    </w:p>
    <w:p>
      <w:pPr>
        <w:pStyle w:val="3"/>
        <w:keepNext w:val="0"/>
        <w:keepLines w:val="0"/>
        <w:widowControl/>
        <w:suppressLineNumbers w:val="0"/>
        <w:spacing w:before="75" w:beforeAutospacing="0" w:after="75" w:afterAutospacing="0" w:line="435" w:lineRule="atLeast"/>
        <w:ind w:right="0"/>
        <w:jc w:val="left"/>
      </w:pPr>
      <w:r>
        <w:rPr>
          <w:rFonts w:hint="eastAsia" w:ascii="宋体" w:hAnsi="宋体" w:eastAsia="宋体" w:cs="宋体"/>
          <w:spacing w:val="0"/>
          <w:sz w:val="24"/>
          <w:szCs w:val="24"/>
        </w:rPr>
        <w:t>2.1（成员一的全称）： （填写“工作及义务的具体内容”） ；</w:t>
      </w:r>
    </w:p>
    <w:p>
      <w:pPr>
        <w:pStyle w:val="3"/>
        <w:keepNext w:val="0"/>
        <w:keepLines w:val="0"/>
        <w:widowControl/>
        <w:suppressLineNumbers w:val="0"/>
        <w:spacing w:before="75" w:beforeAutospacing="0" w:after="75" w:afterAutospacing="0" w:line="435" w:lineRule="atLeast"/>
        <w:ind w:right="0"/>
        <w:jc w:val="both"/>
      </w:pP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三、联合体各方约定由（填写填写“牵头方的全称”）代表联合体办理谈判保证金事宜。</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四、若成交，牵头方将代表联合体与采购人就合同签订事宜进行协商；若协商一致，则联合体各方将共同与采购人签订政府采购合同，并就政府采购合同约定的事项对采购人承担连带责任。</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五、本协议自签署之日起生效，政府采购合同履行完毕后自动失效。</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六、本协议一式（填写具体份数）份，联合体各方各执一份，响应文件中提交一份。</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（以下无正文）</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牵头方：（全称并加盖单位公章）</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成员一：（全称并加盖成员一的单位公章）</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成员**：（全称并加盖成员**的单位公章）</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签署日期：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★注意：</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1、若谈判文件规定接受联合体形式且供应商为联合体的，则供应商应提供本协议；否则无须提供。</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2、本协议中的供应商代表如果不是竞争性谈判须知中定义的“单位负责人”，则还必须提供“单位负责人授权书”。</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3、若谈判文件规定接受联合体形式且供应商为联合体的，纸质响应文件正本中的本协议应为原件。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附件3-13          </w:t>
      </w:r>
      <w:r>
        <w:rPr>
          <w:rStyle w:val="6"/>
          <w:rFonts w:hint="eastAsia" w:ascii="宋体" w:hAnsi="宋体" w:eastAsia="宋体" w:cs="宋体"/>
          <w:b/>
          <w:bCs/>
          <w:spacing w:val="0"/>
          <w:sz w:val="24"/>
          <w:szCs w:val="24"/>
        </w:rPr>
        <w:t>其它资格证明文件</w:t>
      </w:r>
    </w:p>
    <w:p>
      <w:pPr>
        <w:pStyle w:val="3"/>
        <w:keepNext w:val="0"/>
        <w:keepLines w:val="0"/>
        <w:widowControl/>
        <w:suppressLineNumbers w:val="0"/>
        <w:spacing w:before="75" w:beforeAutospacing="0" w:after="75" w:afterAutospacing="0" w:line="420" w:lineRule="atLeast"/>
        <w:ind w:left="0" w:right="0" w:firstLine="0"/>
        <w:jc w:val="center"/>
      </w:pPr>
      <w:r>
        <w:rPr>
          <w:rStyle w:val="6"/>
          <w:rFonts w:hint="eastAsia" w:ascii="宋体" w:hAnsi="宋体" w:eastAsia="宋体" w:cs="宋体"/>
          <w:b/>
          <w:bCs/>
          <w:spacing w:val="0"/>
          <w:sz w:val="24"/>
          <w:szCs w:val="24"/>
        </w:rPr>
        <w:t>（如果有的话）</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说明：1、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2、若谈判文件规定接受联合体形式且供应商为联合体的，涉及联合体成员的其它资格证明文件在此处提供相关证明材料，并加盖供应商单位公章。</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附件4       </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 </w:t>
      </w:r>
      <w:r>
        <w:rPr>
          <w:rStyle w:val="6"/>
          <w:rFonts w:hint="eastAsia" w:ascii="宋体" w:hAnsi="宋体" w:eastAsia="宋体" w:cs="宋体"/>
          <w:b/>
          <w:bCs/>
          <w:spacing w:val="0"/>
          <w:sz w:val="24"/>
          <w:szCs w:val="24"/>
        </w:rPr>
        <w:t>谈判保证金凭证</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3360"/>
        <w:jc w:val="both"/>
      </w:pPr>
      <w:r>
        <w:rPr>
          <w:rFonts w:hint="eastAsia" w:ascii="宋体" w:hAnsi="宋体" w:eastAsia="宋体" w:cs="宋体"/>
          <w:spacing w:val="0"/>
          <w:sz w:val="21"/>
          <w:szCs w:val="21"/>
        </w:rPr>
        <w:t>编制说明</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1、在此项下提交的</w:t>
      </w:r>
      <w:r>
        <w:rPr>
          <w:rStyle w:val="6"/>
          <w:rFonts w:hint="eastAsia" w:ascii="宋体" w:hAnsi="宋体" w:eastAsia="宋体" w:cs="宋体"/>
          <w:b/>
          <w:bCs/>
          <w:spacing w:val="0"/>
          <w:sz w:val="21"/>
          <w:szCs w:val="21"/>
        </w:rPr>
        <w:t>“谈判保证金”</w:t>
      </w:r>
      <w:r>
        <w:rPr>
          <w:rFonts w:hint="eastAsia" w:ascii="宋体" w:hAnsi="宋体" w:eastAsia="宋体" w:cs="宋体"/>
          <w:spacing w:val="0"/>
          <w:sz w:val="21"/>
          <w:szCs w:val="21"/>
        </w:rPr>
        <w:t>材料可使用转账凭证复印件或从福建省政府采购网上公开信息系统中下载的有关原始页面的打印件。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2、谈判保证金是否已提交按照谈判文件规定执行。</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附件5-1  </w:t>
      </w:r>
      <w:r>
        <w:rPr>
          <w:rStyle w:val="6"/>
          <w:rFonts w:hint="eastAsia" w:ascii="宋体" w:hAnsi="宋体" w:eastAsia="宋体" w:cs="宋体"/>
          <w:b/>
          <w:bCs/>
          <w:spacing w:val="0"/>
          <w:sz w:val="24"/>
          <w:szCs w:val="24"/>
        </w:rPr>
        <w:t>    技术和服务要求响应表</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 （全称加盖单位公章）  项目编号∶       </w:t>
      </w:r>
    </w:p>
    <w:tbl>
      <w:tblPr>
        <w:tblW w:w="7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690"/>
        <w:gridCol w:w="1410"/>
        <w:gridCol w:w="2370"/>
        <w:gridCol w:w="205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945" w:hRule="atLeast"/>
        </w:trPr>
        <w:tc>
          <w:tcPr>
            <w:tcW w:w="69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合同包</w:t>
            </w:r>
          </w:p>
        </w:tc>
        <w:tc>
          <w:tcPr>
            <w:tcW w:w="141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章节条目号</w:t>
            </w:r>
          </w:p>
        </w:tc>
        <w:tc>
          <w:tcPr>
            <w:tcW w:w="237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竞争性谈判文件规定的技术和服务要求</w:t>
            </w:r>
          </w:p>
        </w:tc>
        <w:tc>
          <w:tcPr>
            <w:tcW w:w="205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响应文件响应承诺</w:t>
            </w:r>
          </w:p>
        </w:tc>
        <w:tc>
          <w:tcPr>
            <w:tcW w:w="120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55" w:type="dxa"/>
            <w:shd w:val="clear"/>
            <w:tcMar>
              <w:top w:w="0" w:type="dxa"/>
              <w:left w:w="105" w:type="dxa"/>
              <w:bottom w:w="0" w:type="dxa"/>
              <w:right w:w="105" w:type="dxa"/>
            </w:tcMar>
            <w:vAlign w:val="center"/>
          </w:tcPr>
          <w:p>
            <w:pPr>
              <w:keepNext w:val="0"/>
              <w:keepLines w:val="0"/>
              <w:widowControl/>
              <w:suppressLineNumbers w:val="0"/>
              <w:jc w:val="left"/>
            </w:pPr>
          </w:p>
        </w:tc>
        <w:tc>
          <w:tcPr>
            <w:tcW w:w="120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55" w:type="dxa"/>
            <w:shd w:val="clear"/>
            <w:tcMar>
              <w:top w:w="0" w:type="dxa"/>
              <w:left w:w="105" w:type="dxa"/>
              <w:bottom w:w="0" w:type="dxa"/>
              <w:right w:w="105" w:type="dxa"/>
            </w:tcMar>
            <w:vAlign w:val="center"/>
          </w:tcPr>
          <w:p>
            <w:pPr>
              <w:keepNext w:val="0"/>
              <w:keepLines w:val="0"/>
              <w:widowControl/>
              <w:suppressLineNumbers w:val="0"/>
              <w:jc w:val="left"/>
            </w:pPr>
          </w:p>
        </w:tc>
        <w:tc>
          <w:tcPr>
            <w:tcW w:w="120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55" w:type="dxa"/>
            <w:shd w:val="clear"/>
            <w:tcMar>
              <w:top w:w="0" w:type="dxa"/>
              <w:left w:w="105" w:type="dxa"/>
              <w:bottom w:w="0" w:type="dxa"/>
              <w:right w:w="105" w:type="dxa"/>
            </w:tcMar>
            <w:vAlign w:val="center"/>
          </w:tcPr>
          <w:p>
            <w:pPr>
              <w:keepNext w:val="0"/>
              <w:keepLines w:val="0"/>
              <w:widowControl/>
              <w:suppressLineNumbers w:val="0"/>
              <w:jc w:val="left"/>
            </w:pPr>
          </w:p>
        </w:tc>
        <w:tc>
          <w:tcPr>
            <w:tcW w:w="120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55" w:type="dxa"/>
            <w:shd w:val="clear"/>
            <w:tcMar>
              <w:top w:w="0" w:type="dxa"/>
              <w:left w:w="105" w:type="dxa"/>
              <w:bottom w:w="0" w:type="dxa"/>
              <w:right w:w="105" w:type="dxa"/>
            </w:tcMar>
            <w:vAlign w:val="center"/>
          </w:tcPr>
          <w:p>
            <w:pPr>
              <w:keepNext w:val="0"/>
              <w:keepLines w:val="0"/>
              <w:widowControl/>
              <w:suppressLineNumbers w:val="0"/>
              <w:jc w:val="left"/>
            </w:pPr>
          </w:p>
        </w:tc>
        <w:tc>
          <w:tcPr>
            <w:tcW w:w="120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55" w:type="dxa"/>
            <w:shd w:val="clear"/>
            <w:tcMar>
              <w:top w:w="0" w:type="dxa"/>
              <w:left w:w="105" w:type="dxa"/>
              <w:bottom w:w="0" w:type="dxa"/>
              <w:right w:w="105" w:type="dxa"/>
            </w:tcMar>
            <w:vAlign w:val="center"/>
          </w:tcPr>
          <w:p>
            <w:pPr>
              <w:keepNext w:val="0"/>
              <w:keepLines w:val="0"/>
              <w:widowControl/>
              <w:suppressLineNumbers w:val="0"/>
              <w:jc w:val="left"/>
            </w:pPr>
          </w:p>
        </w:tc>
        <w:tc>
          <w:tcPr>
            <w:tcW w:w="120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55" w:type="dxa"/>
            <w:shd w:val="clear"/>
            <w:tcMar>
              <w:top w:w="0" w:type="dxa"/>
              <w:left w:w="105" w:type="dxa"/>
              <w:bottom w:w="0" w:type="dxa"/>
              <w:right w:w="105" w:type="dxa"/>
            </w:tcMar>
            <w:vAlign w:val="center"/>
          </w:tcPr>
          <w:p>
            <w:pPr>
              <w:keepNext w:val="0"/>
              <w:keepLines w:val="0"/>
              <w:widowControl/>
              <w:suppressLineNumbers w:val="0"/>
              <w:jc w:val="left"/>
            </w:pPr>
          </w:p>
        </w:tc>
        <w:tc>
          <w:tcPr>
            <w:tcW w:w="120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55" w:type="dxa"/>
            <w:shd w:val="clear"/>
            <w:tcMar>
              <w:top w:w="0" w:type="dxa"/>
              <w:left w:w="105" w:type="dxa"/>
              <w:bottom w:w="0" w:type="dxa"/>
              <w:right w:w="105" w:type="dxa"/>
            </w:tcMar>
            <w:vAlign w:val="center"/>
          </w:tcPr>
          <w:p>
            <w:pPr>
              <w:keepNext w:val="0"/>
              <w:keepLines w:val="0"/>
              <w:widowControl/>
              <w:suppressLineNumbers w:val="0"/>
              <w:jc w:val="left"/>
            </w:pPr>
          </w:p>
        </w:tc>
        <w:tc>
          <w:tcPr>
            <w:tcW w:w="120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55" w:type="dxa"/>
            <w:shd w:val="clear"/>
            <w:tcMar>
              <w:top w:w="0" w:type="dxa"/>
              <w:left w:w="105" w:type="dxa"/>
              <w:bottom w:w="0" w:type="dxa"/>
              <w:right w:w="105" w:type="dxa"/>
            </w:tcMar>
            <w:vAlign w:val="center"/>
          </w:tcPr>
          <w:p>
            <w:pPr>
              <w:keepNext w:val="0"/>
              <w:keepLines w:val="0"/>
              <w:widowControl/>
              <w:suppressLineNumbers w:val="0"/>
              <w:jc w:val="left"/>
            </w:pPr>
          </w:p>
        </w:tc>
        <w:tc>
          <w:tcPr>
            <w:tcW w:w="120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55" w:type="dxa"/>
            <w:shd w:val="clear"/>
            <w:tcMar>
              <w:top w:w="0" w:type="dxa"/>
              <w:left w:w="105" w:type="dxa"/>
              <w:bottom w:w="0" w:type="dxa"/>
              <w:right w:w="105" w:type="dxa"/>
            </w:tcMar>
            <w:vAlign w:val="center"/>
          </w:tcPr>
          <w:p>
            <w:pPr>
              <w:keepNext w:val="0"/>
              <w:keepLines w:val="0"/>
              <w:widowControl/>
              <w:suppressLineNumbers w:val="0"/>
              <w:jc w:val="left"/>
            </w:pPr>
          </w:p>
        </w:tc>
        <w:tc>
          <w:tcPr>
            <w:tcW w:w="120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55" w:type="dxa"/>
            <w:shd w:val="clear"/>
            <w:tcMar>
              <w:top w:w="0" w:type="dxa"/>
              <w:left w:w="105" w:type="dxa"/>
              <w:bottom w:w="0" w:type="dxa"/>
              <w:right w:w="105" w:type="dxa"/>
            </w:tcMar>
            <w:vAlign w:val="center"/>
          </w:tcPr>
          <w:p>
            <w:pPr>
              <w:keepNext w:val="0"/>
              <w:keepLines w:val="0"/>
              <w:widowControl/>
              <w:suppressLineNumbers w:val="0"/>
              <w:jc w:val="left"/>
            </w:pPr>
          </w:p>
        </w:tc>
        <w:tc>
          <w:tcPr>
            <w:tcW w:w="120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55" w:type="dxa"/>
            <w:shd w:val="clear"/>
            <w:tcMar>
              <w:top w:w="0" w:type="dxa"/>
              <w:left w:w="105" w:type="dxa"/>
              <w:bottom w:w="0" w:type="dxa"/>
              <w:right w:w="105" w:type="dxa"/>
            </w:tcMar>
            <w:vAlign w:val="center"/>
          </w:tcPr>
          <w:p>
            <w:pPr>
              <w:keepNext w:val="0"/>
              <w:keepLines w:val="0"/>
              <w:widowControl/>
              <w:suppressLineNumbers w:val="0"/>
              <w:jc w:val="left"/>
            </w:pPr>
          </w:p>
        </w:tc>
        <w:tc>
          <w:tcPr>
            <w:tcW w:w="120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55" w:type="dxa"/>
            <w:shd w:val="clear"/>
            <w:tcMar>
              <w:top w:w="0" w:type="dxa"/>
              <w:left w:w="105" w:type="dxa"/>
              <w:bottom w:w="0" w:type="dxa"/>
              <w:right w:w="105" w:type="dxa"/>
            </w:tcMar>
            <w:vAlign w:val="center"/>
          </w:tcPr>
          <w:p>
            <w:pPr>
              <w:keepNext w:val="0"/>
              <w:keepLines w:val="0"/>
              <w:widowControl/>
              <w:suppressLineNumbers w:val="0"/>
              <w:jc w:val="left"/>
            </w:pPr>
          </w:p>
        </w:tc>
        <w:tc>
          <w:tcPr>
            <w:tcW w:w="1200" w:type="dxa"/>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b/>
          <w:bCs/>
          <w:spacing w:val="0"/>
          <w:sz w:val="21"/>
          <w:szCs w:val="21"/>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b/>
          <w:bCs/>
          <w:spacing w:val="0"/>
          <w:sz w:val="21"/>
          <w:szCs w:val="21"/>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供应商代表签字： _________________</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附件5-2      </w:t>
      </w:r>
      <w:r>
        <w:rPr>
          <w:rStyle w:val="6"/>
          <w:rFonts w:hint="eastAsia" w:ascii="宋体" w:hAnsi="宋体" w:eastAsia="宋体" w:cs="宋体"/>
          <w:b/>
          <w:bCs/>
          <w:spacing w:val="0"/>
          <w:sz w:val="24"/>
          <w:szCs w:val="24"/>
        </w:rPr>
        <w:t> 商务条件和其它事项响应表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 （全称加盖单位公章）  项目编号∶       </w:t>
      </w:r>
    </w:p>
    <w:tbl>
      <w:tblPr>
        <w:tblW w:w="7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690"/>
        <w:gridCol w:w="1410"/>
        <w:gridCol w:w="2370"/>
        <w:gridCol w:w="207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945" w:hRule="atLeast"/>
        </w:trPr>
        <w:tc>
          <w:tcPr>
            <w:tcW w:w="69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合同包</w:t>
            </w:r>
          </w:p>
        </w:tc>
        <w:tc>
          <w:tcPr>
            <w:tcW w:w="141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章节条目号</w:t>
            </w:r>
          </w:p>
        </w:tc>
        <w:tc>
          <w:tcPr>
            <w:tcW w:w="237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竞争性谈判文件规定的商务条件要求</w:t>
            </w:r>
          </w:p>
        </w:tc>
        <w:tc>
          <w:tcPr>
            <w:tcW w:w="207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响应文件响应承诺</w:t>
            </w:r>
          </w:p>
        </w:tc>
        <w:tc>
          <w:tcPr>
            <w:tcW w:w="114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70" w:type="dxa"/>
            <w:shd w:val="clear"/>
            <w:tcMar>
              <w:top w:w="0" w:type="dxa"/>
              <w:left w:w="105" w:type="dxa"/>
              <w:bottom w:w="0" w:type="dxa"/>
              <w:right w:w="105" w:type="dxa"/>
            </w:tcMar>
            <w:vAlign w:val="center"/>
          </w:tcPr>
          <w:p>
            <w:pPr>
              <w:keepNext w:val="0"/>
              <w:keepLines w:val="0"/>
              <w:widowControl/>
              <w:suppressLineNumbers w:val="0"/>
              <w:jc w:val="left"/>
            </w:pPr>
          </w:p>
        </w:tc>
        <w:tc>
          <w:tcPr>
            <w:tcW w:w="114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70" w:type="dxa"/>
            <w:shd w:val="clear"/>
            <w:tcMar>
              <w:top w:w="0" w:type="dxa"/>
              <w:left w:w="105" w:type="dxa"/>
              <w:bottom w:w="0" w:type="dxa"/>
              <w:right w:w="105" w:type="dxa"/>
            </w:tcMar>
            <w:vAlign w:val="center"/>
          </w:tcPr>
          <w:p>
            <w:pPr>
              <w:keepNext w:val="0"/>
              <w:keepLines w:val="0"/>
              <w:widowControl/>
              <w:suppressLineNumbers w:val="0"/>
              <w:jc w:val="left"/>
            </w:pPr>
          </w:p>
        </w:tc>
        <w:tc>
          <w:tcPr>
            <w:tcW w:w="114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70" w:type="dxa"/>
            <w:shd w:val="clear"/>
            <w:tcMar>
              <w:top w:w="0" w:type="dxa"/>
              <w:left w:w="105" w:type="dxa"/>
              <w:bottom w:w="0" w:type="dxa"/>
              <w:right w:w="105" w:type="dxa"/>
            </w:tcMar>
            <w:vAlign w:val="center"/>
          </w:tcPr>
          <w:p>
            <w:pPr>
              <w:keepNext w:val="0"/>
              <w:keepLines w:val="0"/>
              <w:widowControl/>
              <w:suppressLineNumbers w:val="0"/>
              <w:jc w:val="left"/>
            </w:pPr>
          </w:p>
        </w:tc>
        <w:tc>
          <w:tcPr>
            <w:tcW w:w="114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70" w:type="dxa"/>
            <w:shd w:val="clear"/>
            <w:tcMar>
              <w:top w:w="0" w:type="dxa"/>
              <w:left w:w="105" w:type="dxa"/>
              <w:bottom w:w="0" w:type="dxa"/>
              <w:right w:w="105" w:type="dxa"/>
            </w:tcMar>
            <w:vAlign w:val="center"/>
          </w:tcPr>
          <w:p>
            <w:pPr>
              <w:keepNext w:val="0"/>
              <w:keepLines w:val="0"/>
              <w:widowControl/>
              <w:suppressLineNumbers w:val="0"/>
              <w:jc w:val="left"/>
            </w:pPr>
          </w:p>
        </w:tc>
        <w:tc>
          <w:tcPr>
            <w:tcW w:w="114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70" w:type="dxa"/>
            <w:shd w:val="clear"/>
            <w:tcMar>
              <w:top w:w="0" w:type="dxa"/>
              <w:left w:w="105" w:type="dxa"/>
              <w:bottom w:w="0" w:type="dxa"/>
              <w:right w:w="105" w:type="dxa"/>
            </w:tcMar>
            <w:vAlign w:val="center"/>
          </w:tcPr>
          <w:p>
            <w:pPr>
              <w:keepNext w:val="0"/>
              <w:keepLines w:val="0"/>
              <w:widowControl/>
              <w:suppressLineNumbers w:val="0"/>
              <w:jc w:val="left"/>
            </w:pPr>
          </w:p>
        </w:tc>
        <w:tc>
          <w:tcPr>
            <w:tcW w:w="114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70" w:type="dxa"/>
            <w:shd w:val="clear"/>
            <w:tcMar>
              <w:top w:w="0" w:type="dxa"/>
              <w:left w:w="105" w:type="dxa"/>
              <w:bottom w:w="0" w:type="dxa"/>
              <w:right w:w="105" w:type="dxa"/>
            </w:tcMar>
            <w:vAlign w:val="center"/>
          </w:tcPr>
          <w:p>
            <w:pPr>
              <w:keepNext w:val="0"/>
              <w:keepLines w:val="0"/>
              <w:widowControl/>
              <w:suppressLineNumbers w:val="0"/>
              <w:jc w:val="left"/>
            </w:pPr>
          </w:p>
        </w:tc>
        <w:tc>
          <w:tcPr>
            <w:tcW w:w="114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70" w:type="dxa"/>
            <w:shd w:val="clear"/>
            <w:tcMar>
              <w:top w:w="0" w:type="dxa"/>
              <w:left w:w="105" w:type="dxa"/>
              <w:bottom w:w="0" w:type="dxa"/>
              <w:right w:w="105" w:type="dxa"/>
            </w:tcMar>
            <w:vAlign w:val="center"/>
          </w:tcPr>
          <w:p>
            <w:pPr>
              <w:keepNext w:val="0"/>
              <w:keepLines w:val="0"/>
              <w:widowControl/>
              <w:suppressLineNumbers w:val="0"/>
              <w:jc w:val="left"/>
            </w:pPr>
          </w:p>
        </w:tc>
        <w:tc>
          <w:tcPr>
            <w:tcW w:w="114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70" w:type="dxa"/>
            <w:shd w:val="clear"/>
            <w:tcMar>
              <w:top w:w="0" w:type="dxa"/>
              <w:left w:w="105" w:type="dxa"/>
              <w:bottom w:w="0" w:type="dxa"/>
              <w:right w:w="105" w:type="dxa"/>
            </w:tcMar>
            <w:vAlign w:val="center"/>
          </w:tcPr>
          <w:p>
            <w:pPr>
              <w:keepNext w:val="0"/>
              <w:keepLines w:val="0"/>
              <w:widowControl/>
              <w:suppressLineNumbers w:val="0"/>
              <w:jc w:val="left"/>
            </w:pPr>
          </w:p>
        </w:tc>
        <w:tc>
          <w:tcPr>
            <w:tcW w:w="114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70" w:type="dxa"/>
            <w:shd w:val="clear"/>
            <w:tcMar>
              <w:top w:w="0" w:type="dxa"/>
              <w:left w:w="105" w:type="dxa"/>
              <w:bottom w:w="0" w:type="dxa"/>
              <w:right w:w="105" w:type="dxa"/>
            </w:tcMar>
            <w:vAlign w:val="center"/>
          </w:tcPr>
          <w:p>
            <w:pPr>
              <w:keepNext w:val="0"/>
              <w:keepLines w:val="0"/>
              <w:widowControl/>
              <w:suppressLineNumbers w:val="0"/>
              <w:jc w:val="left"/>
            </w:pPr>
          </w:p>
        </w:tc>
        <w:tc>
          <w:tcPr>
            <w:tcW w:w="114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70" w:type="dxa"/>
            <w:shd w:val="clear"/>
            <w:tcMar>
              <w:top w:w="0" w:type="dxa"/>
              <w:left w:w="105" w:type="dxa"/>
              <w:bottom w:w="0" w:type="dxa"/>
              <w:right w:w="105" w:type="dxa"/>
            </w:tcMar>
            <w:vAlign w:val="center"/>
          </w:tcPr>
          <w:p>
            <w:pPr>
              <w:keepNext w:val="0"/>
              <w:keepLines w:val="0"/>
              <w:widowControl/>
              <w:suppressLineNumbers w:val="0"/>
              <w:jc w:val="left"/>
            </w:pPr>
          </w:p>
        </w:tc>
        <w:tc>
          <w:tcPr>
            <w:tcW w:w="114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70" w:type="dxa"/>
            <w:shd w:val="clear"/>
            <w:tcMar>
              <w:top w:w="0" w:type="dxa"/>
              <w:left w:w="105" w:type="dxa"/>
              <w:bottom w:w="0" w:type="dxa"/>
              <w:right w:w="105" w:type="dxa"/>
            </w:tcMar>
            <w:vAlign w:val="center"/>
          </w:tcPr>
          <w:p>
            <w:pPr>
              <w:keepNext w:val="0"/>
              <w:keepLines w:val="0"/>
              <w:widowControl/>
              <w:suppressLineNumbers w:val="0"/>
              <w:jc w:val="left"/>
            </w:pPr>
          </w:p>
        </w:tc>
        <w:tc>
          <w:tcPr>
            <w:tcW w:w="114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90" w:type="dxa"/>
            <w:shd w:val="clear"/>
            <w:tcMar>
              <w:top w:w="0" w:type="dxa"/>
              <w:left w:w="105" w:type="dxa"/>
              <w:bottom w:w="0" w:type="dxa"/>
              <w:right w:w="105" w:type="dxa"/>
            </w:tcMar>
            <w:vAlign w:val="center"/>
          </w:tcPr>
          <w:p>
            <w:pPr>
              <w:keepNext w:val="0"/>
              <w:keepLines w:val="0"/>
              <w:widowControl/>
              <w:suppressLineNumbers w:val="0"/>
              <w:jc w:val="left"/>
            </w:pPr>
          </w:p>
        </w:tc>
        <w:tc>
          <w:tcPr>
            <w:tcW w:w="1410" w:type="dxa"/>
            <w:shd w:val="clear"/>
            <w:tcMar>
              <w:top w:w="0" w:type="dxa"/>
              <w:left w:w="105" w:type="dxa"/>
              <w:bottom w:w="0" w:type="dxa"/>
              <w:right w:w="105" w:type="dxa"/>
            </w:tcMar>
            <w:vAlign w:val="center"/>
          </w:tcPr>
          <w:p>
            <w:pPr>
              <w:keepNext w:val="0"/>
              <w:keepLines w:val="0"/>
              <w:widowControl/>
              <w:suppressLineNumbers w:val="0"/>
              <w:jc w:val="left"/>
            </w:pPr>
          </w:p>
        </w:tc>
        <w:tc>
          <w:tcPr>
            <w:tcW w:w="2370" w:type="dxa"/>
            <w:shd w:val="clear"/>
            <w:tcMar>
              <w:top w:w="0" w:type="dxa"/>
              <w:left w:w="105" w:type="dxa"/>
              <w:bottom w:w="0" w:type="dxa"/>
              <w:right w:w="105" w:type="dxa"/>
            </w:tcMar>
            <w:vAlign w:val="center"/>
          </w:tcPr>
          <w:p>
            <w:pPr>
              <w:keepNext w:val="0"/>
              <w:keepLines w:val="0"/>
              <w:widowControl/>
              <w:suppressLineNumbers w:val="0"/>
              <w:jc w:val="left"/>
            </w:pPr>
          </w:p>
        </w:tc>
        <w:tc>
          <w:tcPr>
            <w:tcW w:w="2070" w:type="dxa"/>
            <w:shd w:val="clear"/>
            <w:tcMar>
              <w:top w:w="0" w:type="dxa"/>
              <w:left w:w="105" w:type="dxa"/>
              <w:bottom w:w="0" w:type="dxa"/>
              <w:right w:w="105" w:type="dxa"/>
            </w:tcMar>
            <w:vAlign w:val="center"/>
          </w:tcPr>
          <w:p>
            <w:pPr>
              <w:keepNext w:val="0"/>
              <w:keepLines w:val="0"/>
              <w:widowControl/>
              <w:suppressLineNumbers w:val="0"/>
              <w:jc w:val="left"/>
            </w:pPr>
          </w:p>
        </w:tc>
        <w:tc>
          <w:tcPr>
            <w:tcW w:w="1140" w:type="dxa"/>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b/>
          <w:bCs/>
          <w:spacing w:val="0"/>
          <w:sz w:val="21"/>
          <w:szCs w:val="21"/>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b/>
          <w:bCs/>
          <w:spacing w:val="0"/>
          <w:sz w:val="21"/>
          <w:szCs w:val="21"/>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供应商代表签字： _________________</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附件6    </w:t>
      </w:r>
      <w:r>
        <w:rPr>
          <w:rStyle w:val="6"/>
          <w:rFonts w:hint="eastAsia" w:ascii="宋体" w:hAnsi="宋体" w:eastAsia="宋体" w:cs="宋体"/>
          <w:b/>
          <w:bCs/>
          <w:spacing w:val="0"/>
          <w:sz w:val="24"/>
          <w:szCs w:val="24"/>
        </w:rPr>
        <w:t>  相关技术、商务、服务响应承诺及资料</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b/>
          <w:bCs/>
          <w:spacing w:val="0"/>
          <w:sz w:val="24"/>
          <w:szCs w:val="24"/>
        </w:rPr>
        <w:t>说明：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1.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2.如果没有特别要求的，供应商根据谈判文件的要求以及特点，提供相关技术、商务、服务响应承诺及资料，格式自拟。</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附件7     </w:t>
      </w:r>
      <w:r>
        <w:rPr>
          <w:rStyle w:val="6"/>
          <w:rFonts w:hint="eastAsia" w:ascii="宋体" w:hAnsi="宋体" w:eastAsia="宋体" w:cs="宋体"/>
          <w:b/>
          <w:bCs/>
          <w:spacing w:val="0"/>
          <w:sz w:val="24"/>
          <w:szCs w:val="24"/>
        </w:rPr>
        <w:t>供应商提交符合政府采购政策的证明材料</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附件7-1-1        </w:t>
      </w:r>
      <w:r>
        <w:rPr>
          <w:rStyle w:val="6"/>
          <w:rFonts w:hint="eastAsia" w:ascii="宋体" w:hAnsi="宋体" w:eastAsia="宋体" w:cs="宋体"/>
          <w:b/>
          <w:bCs/>
          <w:spacing w:val="0"/>
          <w:sz w:val="24"/>
          <w:szCs w:val="24"/>
        </w:rPr>
        <w:t>中小企业声明函（如果有的话）</w:t>
      </w:r>
    </w:p>
    <w:p>
      <w:pPr>
        <w:pStyle w:val="3"/>
        <w:keepNext w:val="0"/>
        <w:keepLines w:val="0"/>
        <w:widowControl/>
        <w:suppressLineNumbers w:val="0"/>
        <w:spacing w:before="75" w:beforeAutospacing="0" w:after="75" w:afterAutospacing="0" w:line="31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2880"/>
      </w:pP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1"/>
          <w:szCs w:val="21"/>
        </w:rPr>
        <w:t>中小企业声明函（工程、服务）</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3"/>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3"/>
        <w:keepNext w:val="0"/>
        <w:keepLines w:val="0"/>
        <w:widowControl/>
        <w:suppressLineNumbers w:val="0"/>
        <w:spacing w:before="75" w:beforeAutospacing="0" w:after="75" w:afterAutospacing="0" w:line="315" w:lineRule="atLeast"/>
        <w:ind w:left="0" w:right="0" w:firstLine="480"/>
        <w:jc w:val="both"/>
      </w:pP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附件7-1-2</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b/>
          <w:bCs/>
          <w:spacing w:val="0"/>
          <w:sz w:val="24"/>
          <w:szCs w:val="24"/>
        </w:rPr>
        <w:t>残疾人福利性单位声明函（如果有的话）</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Style w:val="6"/>
          <w:rFonts w:hint="eastAsia" w:ascii="宋体" w:hAnsi="宋体" w:eastAsia="宋体" w:cs="宋体"/>
          <w:b/>
          <w:bCs/>
          <w:spacing w:val="0"/>
          <w:sz w:val="24"/>
          <w:szCs w:val="24"/>
        </w:rPr>
        <w:t> </w:t>
      </w:r>
    </w:p>
    <w:p>
      <w:pPr>
        <w:pStyle w:val="3"/>
        <w:keepNext w:val="0"/>
        <w:keepLines w:val="0"/>
        <w:widowControl/>
        <w:suppressLineNumbers w:val="0"/>
        <w:spacing w:before="75" w:beforeAutospacing="0" w:after="75" w:afterAutospacing="0" w:line="435" w:lineRule="atLeast"/>
        <w:ind w:left="0" w:right="0" w:firstLine="420"/>
        <w:jc w:val="both"/>
      </w:pPr>
      <w:r>
        <w:rPr>
          <w:rFonts w:hint="eastAsia" w:ascii="宋体" w:hAnsi="宋体" w:eastAsia="宋体" w:cs="宋体"/>
          <w:sz w:val="24"/>
          <w:szCs w:val="24"/>
        </w:rPr>
        <w:t>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宋体" w:hAnsi="宋体" w:eastAsia="宋体" w:cs="宋体"/>
          <w:sz w:val="24"/>
          <w:szCs w:val="24"/>
          <w:u w:val="single"/>
        </w:rPr>
        <w:t>（填写“项目名称”）</w:t>
      </w:r>
      <w:r>
        <w:rPr>
          <w:rFonts w:hint="eastAsia" w:ascii="宋体" w:hAnsi="宋体" w:eastAsia="宋体" w:cs="宋体"/>
          <w:sz w:val="24"/>
          <w:szCs w:val="24"/>
        </w:rPr>
        <w:t>项目采购活动：</w:t>
      </w:r>
    </w:p>
    <w:p>
      <w:pPr>
        <w:pStyle w:val="3"/>
        <w:keepNext w:val="0"/>
        <w:keepLines w:val="0"/>
        <w:widowControl/>
        <w:suppressLineNumbers w:val="0"/>
        <w:spacing w:before="75" w:beforeAutospacing="0" w:after="75" w:afterAutospacing="0" w:line="435" w:lineRule="atLeast"/>
        <w:ind w:left="0" w:right="0" w:firstLine="420"/>
        <w:jc w:val="both"/>
      </w:pPr>
      <w:r>
        <w:rPr>
          <w:rFonts w:hint="eastAsia" w:ascii="宋体" w:hAnsi="宋体" w:eastAsia="宋体" w:cs="宋体"/>
          <w:sz w:val="24"/>
          <w:szCs w:val="24"/>
        </w:rPr>
        <w:t>（ ）</w:t>
      </w:r>
      <w:r>
        <w:rPr>
          <w:rFonts w:hint="eastAsia" w:ascii="宋体" w:hAnsi="宋体" w:eastAsia="宋体" w:cs="宋体"/>
          <w:sz w:val="21"/>
          <w:szCs w:val="21"/>
        </w:rPr>
        <w:t>提供本供应商制造的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）由本供应商承建的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）由本供应商承接的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3"/>
        <w:keepNext w:val="0"/>
        <w:keepLines w:val="0"/>
        <w:widowControl/>
        <w:suppressLineNumbers w:val="0"/>
        <w:spacing w:before="75" w:beforeAutospacing="0" w:after="75" w:afterAutospacing="0" w:line="435" w:lineRule="atLeast"/>
        <w:ind w:left="0" w:right="0" w:firstLine="420"/>
        <w:jc w:val="both"/>
      </w:pPr>
      <w:r>
        <w:rPr>
          <w:rFonts w:hint="eastAsia" w:ascii="宋体" w:hAnsi="宋体" w:eastAsia="宋体" w:cs="宋体"/>
          <w:sz w:val="24"/>
          <w:szCs w:val="24"/>
        </w:rPr>
        <w:t>本供应商对上述声明的真实性负责。如有虚假，将依法承担相应责任。</w:t>
      </w:r>
    </w:p>
    <w:p>
      <w:pPr>
        <w:pStyle w:val="3"/>
        <w:keepNext w:val="0"/>
        <w:keepLines w:val="0"/>
        <w:widowControl/>
        <w:suppressLineNumbers w:val="0"/>
        <w:spacing w:before="75" w:beforeAutospacing="0" w:after="75" w:afterAutospacing="0" w:line="435" w:lineRule="atLeast"/>
        <w:ind w:left="0" w:right="0" w:firstLine="420"/>
        <w:jc w:val="both"/>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line="435" w:lineRule="atLeast"/>
        <w:ind w:left="0" w:right="0"/>
        <w:jc w:val="both"/>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line="435" w:lineRule="atLeast"/>
        <w:ind w:left="0" w:right="0"/>
        <w:jc w:val="both"/>
      </w:pPr>
      <w:r>
        <w:rPr>
          <w:rFonts w:hint="eastAsia" w:ascii="宋体" w:hAnsi="宋体" w:eastAsia="宋体" w:cs="宋体"/>
          <w:sz w:val="24"/>
          <w:szCs w:val="24"/>
        </w:rPr>
        <w:t>供应商代表：</w:t>
      </w:r>
      <w:r>
        <w:rPr>
          <w:rFonts w:hint="eastAsia" w:ascii="宋体" w:hAnsi="宋体" w:eastAsia="宋体" w:cs="宋体"/>
          <w:sz w:val="24"/>
          <w:szCs w:val="24"/>
          <w:u w:val="single"/>
        </w:rPr>
        <w:t>             （签字） </w:t>
      </w:r>
    </w:p>
    <w:p>
      <w:pPr>
        <w:pStyle w:val="3"/>
        <w:keepNext w:val="0"/>
        <w:keepLines w:val="0"/>
        <w:widowControl/>
        <w:suppressLineNumbers w:val="0"/>
        <w:spacing w:before="75" w:beforeAutospacing="0" w:after="75" w:afterAutospacing="0" w:line="435" w:lineRule="atLeast"/>
        <w:ind w:left="0" w:right="0"/>
        <w:jc w:val="both"/>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              </w:t>
      </w:r>
    </w:p>
    <w:p>
      <w:pPr>
        <w:pStyle w:val="3"/>
        <w:keepNext w:val="0"/>
        <w:keepLines w:val="0"/>
        <w:widowControl/>
        <w:suppressLineNumbers w:val="0"/>
        <w:spacing w:before="75" w:beforeAutospacing="0" w:after="75" w:afterAutospacing="0" w:line="435" w:lineRule="atLeast"/>
        <w:ind w:left="0" w:right="0"/>
        <w:jc w:val="both"/>
      </w:pPr>
      <w:r>
        <w:rPr>
          <w:rFonts w:hint="eastAsia" w:ascii="宋体" w:hAnsi="宋体" w:eastAsia="宋体" w:cs="宋体"/>
          <w:sz w:val="24"/>
          <w:szCs w:val="24"/>
        </w:rPr>
        <w:t>日  期： </w:t>
      </w:r>
      <w:r>
        <w:rPr>
          <w:rFonts w:hint="eastAsia" w:ascii="宋体" w:hAnsi="宋体" w:eastAsia="宋体" w:cs="宋体"/>
          <w:sz w:val="24"/>
          <w:szCs w:val="24"/>
          <w:u w:val="single"/>
        </w:rPr>
        <w:t>    </w:t>
      </w:r>
      <w:r>
        <w:rPr>
          <w:rFonts w:hint="eastAsia" w:ascii="宋体" w:hAnsi="宋体" w:eastAsia="宋体" w:cs="宋体"/>
          <w:sz w:val="24"/>
          <w:szCs w:val="24"/>
        </w:rPr>
        <w:t>年 </w:t>
      </w:r>
      <w:r>
        <w:rPr>
          <w:rFonts w:hint="eastAsia" w:ascii="宋体" w:hAnsi="宋体" w:eastAsia="宋体" w:cs="宋体"/>
          <w:sz w:val="24"/>
          <w:szCs w:val="24"/>
          <w:u w:val="single"/>
        </w:rPr>
        <w:t>   </w:t>
      </w:r>
      <w:r>
        <w:rPr>
          <w:rFonts w:hint="eastAsia" w:ascii="宋体" w:hAnsi="宋体" w:eastAsia="宋体" w:cs="宋体"/>
          <w:sz w:val="24"/>
          <w:szCs w:val="24"/>
        </w:rPr>
        <w:t>月 </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z w:val="24"/>
          <w:szCs w:val="24"/>
        </w:rPr>
        <w:t>备注：（1）若供应商不符合残疾人福利性单位，不用提供本声明函，否则视为提供虚假材料。供应商在提交最后报价前，如果已向谈判小组提交上述声明函，视同为供应商符合残疾人福利性单位，享受价格扣除的优惠政策。</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z w:val="24"/>
          <w:szCs w:val="24"/>
        </w:rPr>
        <w:t>（2）请供应商按照实际情况编制填写本声明函，并在相应的（）中打“√”。</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z w:val="24"/>
          <w:szCs w:val="24"/>
        </w:rPr>
        <w:t>（3）纸质响应文件正本中的本声明函（若有）应为原件。</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z w:val="24"/>
          <w:szCs w:val="24"/>
        </w:rPr>
        <w:t>（4）若《残疾人福利性单位声明函》内容不真实，视为提供虚假材料。</w:t>
      </w:r>
    </w:p>
    <w:p>
      <w:pPr>
        <w:pStyle w:val="3"/>
        <w:keepNext w:val="0"/>
        <w:keepLines w:val="0"/>
        <w:widowControl/>
        <w:suppressLineNumbers w:val="0"/>
        <w:spacing w:before="75" w:beforeAutospacing="0" w:after="75" w:afterAutospacing="0" w:line="435" w:lineRule="atLeast"/>
        <w:ind w:left="0" w:right="0" w:firstLine="420"/>
        <w:jc w:val="both"/>
      </w:pP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附件7-2</w:t>
      </w:r>
      <w:r>
        <w:rPr>
          <w:rStyle w:val="6"/>
          <w:rFonts w:hint="eastAsia" w:ascii="宋体" w:hAnsi="宋体" w:eastAsia="宋体" w:cs="宋体"/>
          <w:b/>
          <w:bCs/>
          <w:spacing w:val="0"/>
          <w:sz w:val="24"/>
          <w:szCs w:val="24"/>
        </w:rPr>
        <w:t>优先类节能产品、环境标志产品价格扣除证明材料（如果有的话）</w:t>
      </w:r>
    </w:p>
    <w:p>
      <w:pPr>
        <w:pStyle w:val="3"/>
        <w:keepNext w:val="0"/>
        <w:keepLines w:val="0"/>
        <w:widowControl/>
        <w:suppressLineNumbers w:val="0"/>
        <w:spacing w:before="75" w:beforeAutospacing="0" w:after="75" w:afterAutospacing="0"/>
        <w:ind w:left="0" w:right="0" w:firstLine="0"/>
        <w:jc w:val="both"/>
      </w:pPr>
      <w:r>
        <w:rPr>
          <w:rFonts w:hint="eastAsia" w:ascii="宋体" w:hAnsi="宋体" w:eastAsia="宋体" w:cs="宋体"/>
          <w:spacing w:val="0"/>
          <w:sz w:val="24"/>
          <w:szCs w:val="24"/>
        </w:rPr>
        <w:t>              </w:t>
      </w:r>
    </w:p>
    <w:tbl>
      <w:tblP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1215" w:type="dxa"/>
            <w:shd w:val="clear"/>
            <w:tcMar>
              <w:top w:w="0" w:type="dxa"/>
              <w:left w:w="105" w:type="dxa"/>
              <w:bottom w:w="0" w:type="dxa"/>
              <w:right w:w="105" w:type="dxa"/>
            </w:tcMar>
            <w:vAlign w:val="center"/>
          </w:tcPr>
          <w:p>
            <w:pPr>
              <w:keepNext w:val="0"/>
              <w:keepLines w:val="0"/>
              <w:widowControl/>
              <w:suppressLineNumbers w:val="0"/>
              <w:jc w:val="left"/>
            </w:pPr>
          </w:p>
        </w:tc>
        <w:tc>
          <w:tcPr>
            <w:tcW w:w="7305" w:type="dxa"/>
            <w:gridSpan w:val="6"/>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合同包</w:t>
            </w:r>
          </w:p>
        </w:tc>
        <w:tc>
          <w:tcPr>
            <w:tcW w:w="121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品目号</w:t>
            </w:r>
          </w:p>
        </w:tc>
        <w:tc>
          <w:tcPr>
            <w:tcW w:w="121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产品名称</w:t>
            </w:r>
          </w:p>
        </w:tc>
        <w:tc>
          <w:tcPr>
            <w:tcW w:w="121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最后报价单价</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（现场）</w:t>
            </w:r>
          </w:p>
        </w:tc>
        <w:tc>
          <w:tcPr>
            <w:tcW w:w="121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数量</w:t>
            </w:r>
          </w:p>
        </w:tc>
        <w:tc>
          <w:tcPr>
            <w:tcW w:w="121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最后报价总价</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（现场）</w:t>
            </w:r>
          </w:p>
        </w:tc>
        <w:tc>
          <w:tcPr>
            <w:tcW w:w="123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vMerge w:val="restart"/>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w:t>
            </w:r>
          </w:p>
        </w:tc>
        <w:tc>
          <w:tcPr>
            <w:tcW w:w="121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*-1</w:t>
            </w:r>
          </w:p>
        </w:tc>
        <w:tc>
          <w:tcPr>
            <w:tcW w:w="1215" w:type="dxa"/>
            <w:shd w:val="clear"/>
            <w:tcMar>
              <w:top w:w="0" w:type="dxa"/>
              <w:left w:w="105" w:type="dxa"/>
              <w:bottom w:w="0" w:type="dxa"/>
              <w:right w:w="105" w:type="dxa"/>
            </w:tcMar>
            <w:vAlign w:val="center"/>
          </w:tcPr>
          <w:p>
            <w:pPr>
              <w:keepNext w:val="0"/>
              <w:keepLines w:val="0"/>
              <w:widowControl/>
              <w:suppressLineNumbers w:val="0"/>
              <w:jc w:val="left"/>
            </w:pPr>
          </w:p>
        </w:tc>
        <w:tc>
          <w:tcPr>
            <w:tcW w:w="1215" w:type="dxa"/>
            <w:shd w:val="clear"/>
            <w:tcMar>
              <w:top w:w="0" w:type="dxa"/>
              <w:left w:w="105" w:type="dxa"/>
              <w:bottom w:w="0" w:type="dxa"/>
              <w:right w:w="105" w:type="dxa"/>
            </w:tcMar>
            <w:vAlign w:val="center"/>
          </w:tcPr>
          <w:p>
            <w:pPr>
              <w:keepNext w:val="0"/>
              <w:keepLines w:val="0"/>
              <w:widowControl/>
              <w:suppressLineNumbers w:val="0"/>
              <w:jc w:val="left"/>
            </w:pPr>
          </w:p>
        </w:tc>
        <w:tc>
          <w:tcPr>
            <w:tcW w:w="1215" w:type="dxa"/>
            <w:shd w:val="clear"/>
            <w:tcMar>
              <w:top w:w="0" w:type="dxa"/>
              <w:left w:w="105" w:type="dxa"/>
              <w:bottom w:w="0" w:type="dxa"/>
              <w:right w:w="105" w:type="dxa"/>
            </w:tcMar>
            <w:vAlign w:val="center"/>
          </w:tcPr>
          <w:p>
            <w:pPr>
              <w:keepNext w:val="0"/>
              <w:keepLines w:val="0"/>
              <w:widowControl/>
              <w:suppressLineNumbers w:val="0"/>
              <w:jc w:val="left"/>
            </w:pPr>
          </w:p>
        </w:tc>
        <w:tc>
          <w:tcPr>
            <w:tcW w:w="1215" w:type="dxa"/>
            <w:shd w:val="clear"/>
            <w:tcMar>
              <w:top w:w="0" w:type="dxa"/>
              <w:left w:w="105" w:type="dxa"/>
              <w:bottom w:w="0" w:type="dxa"/>
              <w:right w:w="105" w:type="dxa"/>
            </w:tcMar>
            <w:vAlign w:val="center"/>
          </w:tcPr>
          <w:p>
            <w:pPr>
              <w:keepNext w:val="0"/>
              <w:keepLines w:val="0"/>
              <w:widowControl/>
              <w:suppressLineNumbers w:val="0"/>
              <w:jc w:val="left"/>
            </w:pPr>
          </w:p>
        </w:tc>
        <w:tc>
          <w:tcPr>
            <w:tcW w:w="123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vMerge w:val="continue"/>
            <w:shd w:val="clear"/>
            <w:tcMar>
              <w:top w:w="0" w:type="dxa"/>
              <w:left w:w="105" w:type="dxa"/>
              <w:bottom w:w="0" w:type="dxa"/>
              <w:right w:w="105" w:type="dxa"/>
            </w:tcMar>
            <w:vAlign w:val="center"/>
          </w:tcPr>
          <w:p>
            <w:pPr>
              <w:rPr>
                <w:rFonts w:hint="eastAsia" w:ascii="宋体"/>
                <w:sz w:val="24"/>
                <w:szCs w:val="24"/>
              </w:rPr>
            </w:pPr>
          </w:p>
        </w:tc>
        <w:tc>
          <w:tcPr>
            <w:tcW w:w="121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pacing w:val="0"/>
                <w:sz w:val="21"/>
                <w:szCs w:val="21"/>
              </w:rPr>
              <w:t>…</w:t>
            </w:r>
          </w:p>
        </w:tc>
        <w:tc>
          <w:tcPr>
            <w:tcW w:w="1215" w:type="dxa"/>
            <w:shd w:val="clear"/>
            <w:tcMar>
              <w:top w:w="0" w:type="dxa"/>
              <w:left w:w="105" w:type="dxa"/>
              <w:bottom w:w="0" w:type="dxa"/>
              <w:right w:w="105" w:type="dxa"/>
            </w:tcMar>
            <w:vAlign w:val="center"/>
          </w:tcPr>
          <w:p>
            <w:pPr>
              <w:keepNext w:val="0"/>
              <w:keepLines w:val="0"/>
              <w:widowControl/>
              <w:suppressLineNumbers w:val="0"/>
              <w:jc w:val="left"/>
            </w:pPr>
          </w:p>
        </w:tc>
        <w:tc>
          <w:tcPr>
            <w:tcW w:w="1215" w:type="dxa"/>
            <w:shd w:val="clear"/>
            <w:tcMar>
              <w:top w:w="0" w:type="dxa"/>
              <w:left w:w="105" w:type="dxa"/>
              <w:bottom w:w="0" w:type="dxa"/>
              <w:right w:w="105" w:type="dxa"/>
            </w:tcMar>
            <w:vAlign w:val="center"/>
          </w:tcPr>
          <w:p>
            <w:pPr>
              <w:keepNext w:val="0"/>
              <w:keepLines w:val="0"/>
              <w:widowControl/>
              <w:suppressLineNumbers w:val="0"/>
              <w:jc w:val="left"/>
            </w:pPr>
          </w:p>
        </w:tc>
        <w:tc>
          <w:tcPr>
            <w:tcW w:w="1215" w:type="dxa"/>
            <w:shd w:val="clear"/>
            <w:tcMar>
              <w:top w:w="0" w:type="dxa"/>
              <w:left w:w="105" w:type="dxa"/>
              <w:bottom w:w="0" w:type="dxa"/>
              <w:right w:w="105" w:type="dxa"/>
            </w:tcMar>
            <w:vAlign w:val="center"/>
          </w:tcPr>
          <w:p>
            <w:pPr>
              <w:keepNext w:val="0"/>
              <w:keepLines w:val="0"/>
              <w:widowControl/>
              <w:suppressLineNumbers w:val="0"/>
              <w:jc w:val="left"/>
            </w:pPr>
          </w:p>
        </w:tc>
        <w:tc>
          <w:tcPr>
            <w:tcW w:w="1215" w:type="dxa"/>
            <w:shd w:val="clear"/>
            <w:tcMar>
              <w:top w:w="0" w:type="dxa"/>
              <w:left w:w="105" w:type="dxa"/>
              <w:bottom w:w="0" w:type="dxa"/>
              <w:right w:w="105" w:type="dxa"/>
            </w:tcMar>
            <w:vAlign w:val="center"/>
          </w:tcPr>
          <w:p>
            <w:pPr>
              <w:keepNext w:val="0"/>
              <w:keepLines w:val="0"/>
              <w:widowControl/>
              <w:suppressLineNumbers w:val="0"/>
              <w:jc w:val="left"/>
            </w:pPr>
          </w:p>
        </w:tc>
        <w:tc>
          <w:tcPr>
            <w:tcW w:w="1230" w:type="dxa"/>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备注</w:t>
            </w:r>
          </w:p>
        </w:tc>
        <w:tc>
          <w:tcPr>
            <w:tcW w:w="7305" w:type="dxa"/>
            <w:gridSpan w:val="6"/>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a.本合同包内属于节能、环境标志产品的合计最后报价总金额：      ；</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b.本合同包最后报价总价：            ；</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c.本合同包内属于节能、环境标志产品的合计最后报价总金额占本合同包最后报价总价的比例（以</w:t>
            </w:r>
            <w:r>
              <w:rPr>
                <w:rFonts w:hint="default" w:ascii="Calibri" w:hAnsi="Calibri" w:cs="Calibri"/>
                <w:spacing w:val="0"/>
                <w:sz w:val="21"/>
                <w:szCs w:val="21"/>
              </w:rPr>
              <w:t>%</w:t>
            </w:r>
            <w:r>
              <w:rPr>
                <w:rFonts w:hint="eastAsia" w:ascii="宋体" w:hAnsi="宋体" w:eastAsia="宋体" w:cs="宋体"/>
                <w:spacing w:val="0"/>
                <w:sz w:val="21"/>
                <w:szCs w:val="21"/>
              </w:rPr>
              <w:t>列示）：           。</w:t>
            </w:r>
          </w:p>
        </w:tc>
      </w:tr>
    </w:tbl>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★注意：</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1.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2.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3、具体统计、计算：</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3.1若同一合同包内的单个或多个货物取得或同时取得节能、环境标志产品等两项或多项认证的，均按照单个货物对应一项认证的原则统计、计算</w:t>
      </w:r>
      <w:r>
        <w:rPr>
          <w:rFonts w:hint="default" w:ascii="Calibri" w:hAnsi="Calibri" w:cs="Calibri"/>
          <w:spacing w:val="0"/>
          <w:sz w:val="21"/>
          <w:szCs w:val="21"/>
        </w:rPr>
        <w:t>1</w:t>
      </w:r>
      <w:r>
        <w:rPr>
          <w:rFonts w:hint="eastAsia" w:ascii="宋体" w:hAnsi="宋体" w:eastAsia="宋体" w:cs="宋体"/>
          <w:spacing w:val="0"/>
          <w:sz w:val="21"/>
          <w:szCs w:val="21"/>
        </w:rPr>
        <w:t>次。</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3.2计算结果若除不尽，可四舍五入保留到小数点后两位。</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3.3供应商应按照谈判文件上表要求认真统计、计算，否则谈判小组可不予认定。</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3.4若无节能、环境标志产品，不填写本表，否则，视为提供虚假材料。</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3.5强制类节能产品不享受价格扣除。</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4、本表以合同包为单位，不同合同包请分别填写；同一合同包请按照顺序分别填写，以方便谈判小组审阅。供应商在提交最后报价前，如果已向谈判小组提交上表内容并附相应证明资料，视同为供应商的产品属于节能、环境标志产品，享受价格扣除的优惠政策。</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5、纸质响应文件正本中的本表（若有）应为原件。</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附件8       </w:t>
      </w:r>
      <w:r>
        <w:rPr>
          <w:rStyle w:val="6"/>
          <w:rFonts w:hint="eastAsia" w:ascii="宋体" w:hAnsi="宋体" w:eastAsia="宋体" w:cs="宋体"/>
          <w:b/>
          <w:bCs/>
          <w:spacing w:val="0"/>
          <w:sz w:val="24"/>
          <w:szCs w:val="24"/>
        </w:rPr>
        <w:t>要求作为响应文件组成部分的其他内容（若有）</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说明：</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2、供应商根据自身实际情况编写有关资料包括如供应商单位简介、竞争性谈判文件要求提供或供应商自已认为体现自身优势，需要补充说明的其它资料，格式自拟。</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2"/>
        <w:keepNext w:val="0"/>
        <w:keepLines w:val="0"/>
        <w:widowControl/>
        <w:suppressLineNumbers w:val="0"/>
        <w:shd w:val="clear" w:fill="FFFFFF"/>
        <w:spacing w:before="300" w:beforeAutospacing="0" w:after="150" w:afterAutospacing="0" w:line="17" w:lineRule="atLeast"/>
        <w:ind w:left="0" w:firstLine="0"/>
        <w:rPr>
          <w:rFonts w:ascii="Helvetica" w:hAnsi="Helvetica" w:eastAsia="Helvetica" w:cs="Helvetica"/>
          <w:b w:val="0"/>
          <w:bCs w:val="0"/>
          <w:i w:val="0"/>
          <w:iCs w:val="0"/>
          <w:caps w:val="0"/>
          <w:color w:val="393939"/>
          <w:spacing w:val="0"/>
          <w:sz w:val="33"/>
          <w:szCs w:val="33"/>
        </w:rPr>
      </w:pPr>
      <w:r>
        <w:rPr>
          <w:rFonts w:hint="default" w:ascii="Helvetica" w:hAnsi="Helvetica" w:eastAsia="Helvetica" w:cs="Helvetica"/>
          <w:b w:val="0"/>
          <w:bCs w:val="0"/>
          <w:i w:val="0"/>
          <w:iCs w:val="0"/>
          <w:caps w:val="0"/>
          <w:color w:val="393939"/>
          <w:spacing w:val="0"/>
          <w:sz w:val="33"/>
          <w:szCs w:val="33"/>
          <w:shd w:val="clear" w:fill="FFFFFF"/>
        </w:rPr>
        <w:t>采购文件相关附件</w:t>
      </w:r>
    </w:p>
    <w:p>
      <w:pPr>
        <w:keepNext w:val="0"/>
        <w:keepLines w:val="0"/>
        <w:widowControl/>
        <w:numPr>
          <w:ilvl w:val="0"/>
          <w:numId w:val="1"/>
        </w:numPr>
        <w:suppressLineNumbers w:val="0"/>
        <w:spacing w:before="0" w:beforeAutospacing="1" w:after="0" w:afterAutospacing="1"/>
        <w:ind w:left="376" w:hanging="360"/>
      </w:pPr>
      <w:r>
        <w:rPr>
          <w:rFonts w:hint="eastAsia" w:ascii="微软雅黑" w:hAnsi="微软雅黑" w:eastAsia="微软雅黑" w:cs="微软雅黑"/>
          <w:i w:val="0"/>
          <w:iCs w:val="0"/>
          <w:caps w:val="0"/>
          <w:color w:val="337AB7"/>
          <w:spacing w:val="0"/>
          <w:sz w:val="19"/>
          <w:szCs w:val="19"/>
          <w:u w:val="none"/>
          <w:bdr w:val="none" w:color="auto" w:sz="0" w:space="0"/>
          <w:shd w:val="clear" w:fill="FFFFFF"/>
        </w:rPr>
        <w:fldChar w:fldCharType="begin"/>
      </w:r>
      <w:r>
        <w:rPr>
          <w:rFonts w:hint="eastAsia" w:ascii="微软雅黑" w:hAnsi="微软雅黑" w:eastAsia="微软雅黑" w:cs="微软雅黑"/>
          <w:i w:val="0"/>
          <w:iCs w:val="0"/>
          <w:caps w:val="0"/>
          <w:color w:val="337AB7"/>
          <w:spacing w:val="0"/>
          <w:sz w:val="19"/>
          <w:szCs w:val="19"/>
          <w:u w:val="none"/>
          <w:bdr w:val="none" w:color="auto" w:sz="0" w:space="0"/>
          <w:shd w:val="clear" w:fill="FFFFFF"/>
        </w:rPr>
        <w:instrText xml:space="preserve"> HYPERLINK "http://zfcg.fuzhou.gov.cn/gpmsqx/ExpertChange/downloadShare?id=517a1a9ce27c45ca882ef001df173207" </w:instrText>
      </w:r>
      <w:r>
        <w:rPr>
          <w:rFonts w:hint="eastAsia" w:ascii="微软雅黑" w:hAnsi="微软雅黑" w:eastAsia="微软雅黑" w:cs="微软雅黑"/>
          <w:i w:val="0"/>
          <w:iCs w:val="0"/>
          <w:caps w:val="0"/>
          <w:color w:val="337AB7"/>
          <w:spacing w:val="0"/>
          <w:sz w:val="19"/>
          <w:szCs w:val="19"/>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7AB7"/>
          <w:spacing w:val="0"/>
          <w:sz w:val="19"/>
          <w:szCs w:val="19"/>
          <w:u w:val="none"/>
          <w:bdr w:val="none" w:color="auto" w:sz="0" w:space="0"/>
          <w:shd w:val="clear" w:fill="FFFFFF"/>
        </w:rPr>
        <w:t>资格承诺函.doc</w:t>
      </w:r>
      <w:r>
        <w:rPr>
          <w:rFonts w:hint="eastAsia" w:ascii="微软雅黑" w:hAnsi="微软雅黑" w:eastAsia="微软雅黑" w:cs="微软雅黑"/>
          <w:i w:val="0"/>
          <w:iCs w:val="0"/>
          <w:caps w:val="0"/>
          <w:color w:val="337AB7"/>
          <w:spacing w:val="0"/>
          <w:sz w:val="19"/>
          <w:szCs w:val="19"/>
          <w:u w:val="none"/>
          <w:bdr w:val="none" w:color="auto" w:sz="0" w:space="0"/>
          <w:shd w:val="clear" w:fill="FFFFFF"/>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64C000" w:usb3="00000002" w:csb0="00000001" w:csb1="4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DE3A4A"/>
    <w:multiLevelType w:val="multilevel"/>
    <w:tmpl w:val="2FDE3A4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N2IyZGJjZmQxYWUwZjAyNzBlY2Q5YjZkMmEyMTUifQ=="/>
  </w:docVars>
  <w:rsids>
    <w:rsidRoot w:val="00000000"/>
    <w:rsid w:val="358911FA"/>
    <w:rsid w:val="3AB21B74"/>
    <w:rsid w:val="40624935"/>
    <w:rsid w:val="60A73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63</Pages>
  <Words>38750</Words>
  <Characters>40026</Characters>
  <Lines>0</Lines>
  <Paragraphs>0</Paragraphs>
  <TotalTime>4</TotalTime>
  <ScaleCrop>false</ScaleCrop>
  <LinksUpToDate>false</LinksUpToDate>
  <CharactersWithSpaces>42836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2022-11-28T01:25:59Z</dcterms:created>
  <dc:creator>Administrator</dc:creator>
  <cp:lastModifiedBy>。</cp:lastModifiedBy>
  <dcterms:modified xsi:type="dcterms:W3CDTF">2022-11-28T01:30:46Z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0A435127D67F4F9FB285B5CECFE107C7</vt:lpwstr>
  </property>
</Properties>
</file>